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D5E" w:rsidRDefault="00500D5E" w:rsidP="00D76FFA">
      <w:pPr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GoBack"/>
      <w:bookmarkEnd w:id="0"/>
    </w:p>
    <w:p w:rsidR="00D76FFA" w:rsidRPr="00D76FFA" w:rsidRDefault="00E46DBA" w:rsidP="00D76FFA">
      <w:pPr>
        <w:jc w:val="center"/>
        <w:rPr>
          <w:rFonts w:cstheme="minorHAnsi"/>
          <w:b/>
          <w:color w:val="000000"/>
          <w:sz w:val="24"/>
          <w:szCs w:val="24"/>
        </w:rPr>
      </w:pPr>
      <w:r w:rsidRPr="00D76FFA">
        <w:rPr>
          <w:rFonts w:cstheme="minorHAnsi"/>
          <w:b/>
          <w:color w:val="000000"/>
          <w:sz w:val="24"/>
          <w:szCs w:val="24"/>
        </w:rPr>
        <w:t>ANEXO</w:t>
      </w:r>
      <w:r w:rsidR="009F0ED9">
        <w:rPr>
          <w:rFonts w:cstheme="minorHAnsi"/>
          <w:b/>
          <w:color w:val="000000"/>
          <w:sz w:val="24"/>
          <w:szCs w:val="24"/>
        </w:rPr>
        <w:t xml:space="preserve"> 20 </w:t>
      </w:r>
      <w:r w:rsidRPr="00D76FFA">
        <w:rPr>
          <w:rFonts w:cstheme="minorHAnsi"/>
          <w:b/>
          <w:color w:val="000000"/>
          <w:sz w:val="24"/>
          <w:szCs w:val="24"/>
        </w:rPr>
        <w:t>–</w:t>
      </w:r>
      <w:r w:rsidR="009F0ED9">
        <w:rPr>
          <w:rFonts w:cstheme="minorHAnsi"/>
          <w:b/>
          <w:color w:val="000000"/>
          <w:sz w:val="24"/>
          <w:szCs w:val="24"/>
        </w:rPr>
        <w:t xml:space="preserve"> </w:t>
      </w:r>
      <w:r w:rsidR="00D76FFA" w:rsidRPr="00D76FFA">
        <w:rPr>
          <w:rFonts w:cstheme="minorHAnsi"/>
          <w:b/>
          <w:color w:val="000000"/>
          <w:sz w:val="24"/>
          <w:szCs w:val="24"/>
        </w:rPr>
        <w:t>DOSSIER DO PROJETO XX_CALL#X |XX SGS#X</w:t>
      </w:r>
    </w:p>
    <w:p w:rsidR="0071660E" w:rsidRDefault="006538F5" w:rsidP="009C1758">
      <w:pPr>
        <w:jc w:val="both"/>
        <w:rPr>
          <w:rFonts w:cstheme="minorHAnsi"/>
          <w:color w:val="000000"/>
        </w:rPr>
      </w:pPr>
      <w:r w:rsidRPr="00C460C2">
        <w:rPr>
          <w:rFonts w:cstheme="minorHAnsi"/>
          <w:color w:val="000000"/>
        </w:rPr>
        <w:t>O dossier do projeto</w:t>
      </w:r>
      <w:r w:rsidR="0071660E">
        <w:rPr>
          <w:rFonts w:cstheme="minorHAnsi"/>
          <w:color w:val="000000"/>
        </w:rPr>
        <w:t xml:space="preserve"> obedece aos </w:t>
      </w:r>
      <w:r w:rsidR="009C1758">
        <w:rPr>
          <w:rFonts w:cstheme="minorHAnsi"/>
          <w:color w:val="000000"/>
        </w:rPr>
        <w:t>A</w:t>
      </w:r>
      <w:r w:rsidR="00FD49C4">
        <w:rPr>
          <w:rFonts w:cstheme="minorHAnsi"/>
          <w:color w:val="000000"/>
        </w:rPr>
        <w:t>rtigos 29º, 30º, 31º, 32º, 33º e 34º do</w:t>
      </w:r>
      <w:r w:rsidR="00FD49C4" w:rsidRPr="00FD49C4">
        <w:t xml:space="preserve"> </w:t>
      </w:r>
      <w:r w:rsidR="00FD49C4">
        <w:t>‘</w:t>
      </w:r>
      <w:r w:rsidR="009C1758">
        <w:rPr>
          <w:rFonts w:cstheme="minorHAnsi"/>
          <w:color w:val="000000"/>
        </w:rPr>
        <w:t xml:space="preserve">Guia para os Candidatos </w:t>
      </w:r>
      <w:r w:rsidR="00FD49C4" w:rsidRPr="00FD49C4">
        <w:rPr>
          <w:rFonts w:cstheme="minorHAnsi"/>
          <w:color w:val="000000"/>
        </w:rPr>
        <w:t xml:space="preserve">ao </w:t>
      </w:r>
      <w:r w:rsidR="009C1758">
        <w:rPr>
          <w:rFonts w:cstheme="minorHAnsi"/>
          <w:color w:val="000000"/>
        </w:rPr>
        <w:t>F</w:t>
      </w:r>
      <w:r w:rsidR="00FD49C4" w:rsidRPr="00FD49C4">
        <w:rPr>
          <w:rFonts w:cstheme="minorHAnsi"/>
          <w:color w:val="000000"/>
        </w:rPr>
        <w:t xml:space="preserve">inanciamento </w:t>
      </w:r>
      <w:r w:rsidR="009C1758">
        <w:rPr>
          <w:rFonts w:cstheme="minorHAnsi"/>
          <w:color w:val="000000"/>
        </w:rPr>
        <w:t>de Projetos de</w:t>
      </w:r>
      <w:r w:rsidR="00FD49C4" w:rsidRPr="00FD49C4">
        <w:rPr>
          <w:rFonts w:cstheme="minorHAnsi"/>
          <w:color w:val="000000"/>
        </w:rPr>
        <w:t xml:space="preserve"> Ambiente</w:t>
      </w:r>
      <w:r w:rsidR="009C1758">
        <w:rPr>
          <w:rFonts w:cstheme="minorHAnsi"/>
          <w:color w:val="000000"/>
        </w:rPr>
        <w:t>, Alterações Climáticas e Economia de Baixo Carbono’.</w:t>
      </w:r>
    </w:p>
    <w:p w:rsidR="00D76FFA" w:rsidRPr="00C460C2" w:rsidRDefault="0071660E" w:rsidP="009C175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Este Dossier </w:t>
      </w:r>
      <w:r w:rsidR="006538F5" w:rsidRPr="00C460C2">
        <w:rPr>
          <w:rFonts w:cstheme="minorHAnsi"/>
          <w:color w:val="000000"/>
        </w:rPr>
        <w:t>deve ser organizado, sempre que possível, em suporte digital, devendo ser constituído de acordo com a seguinte estrutura: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Candidatura </w:t>
      </w:r>
    </w:p>
    <w:p w:rsidR="0071660E" w:rsidRDefault="0071660E" w:rsidP="009C17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Formulário de candidatura e respetivos anexos; </w:t>
      </w:r>
    </w:p>
    <w:p w:rsidR="0071660E" w:rsidRPr="0071660E" w:rsidRDefault="0071660E" w:rsidP="009C17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Memória descritiva do projeto; </w:t>
      </w:r>
    </w:p>
    <w:p w:rsidR="0071660E" w:rsidRPr="0071660E" w:rsidRDefault="0071660E" w:rsidP="009C17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Comunicação da decisão de aprovação; 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Decisão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>Notificação da elegibilidade do Projeto;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Notificação da proposta de decisão de aprovação;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Notificação da decisão final de aprovação;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Reformulação dos dados de candidatura para atender a recomendações do painel de avaliação, quando aplicável;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Termo de aceitação e respetivos anexos;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Contrato e Acordo de Parceria celebrado(s) com os parceiros envolvidos, quando aplicável; </w:t>
      </w:r>
    </w:p>
    <w:p w:rsidR="006538F5" w:rsidRPr="00C460C2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Pedido(s) de alteração ao Contrato, quando aplicável; </w:t>
      </w:r>
    </w:p>
    <w:p w:rsidR="006538F5" w:rsidRDefault="006538F5" w:rsidP="009C1758">
      <w:pPr>
        <w:pStyle w:val="Default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</w:t>
      </w:r>
      <w:r w:rsidR="0072458C" w:rsidRPr="00C460C2">
        <w:rPr>
          <w:sz w:val="22"/>
          <w:szCs w:val="22"/>
        </w:rPr>
        <w:t xml:space="preserve">com </w:t>
      </w:r>
      <w:r w:rsidR="00500D5E" w:rsidRPr="00C460C2">
        <w:rPr>
          <w:sz w:val="22"/>
          <w:szCs w:val="22"/>
        </w:rPr>
        <w:t>pelo Operador do Programa Ambiente</w:t>
      </w:r>
      <w:r w:rsidR="0072458C" w:rsidRPr="00C460C2">
        <w:rPr>
          <w:sz w:val="22"/>
          <w:szCs w:val="22"/>
        </w:rPr>
        <w:t>.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Pedidos de pagamento </w:t>
      </w:r>
    </w:p>
    <w:p w:rsidR="0071660E" w:rsidRDefault="006538F5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das listagens discriminativas das despesas apresentadas em pedidos de pagamento e respetivos relatórios de análise emitidos </w:t>
      </w:r>
      <w:r w:rsidR="00500D5E" w:rsidRPr="00C460C2">
        <w:rPr>
          <w:sz w:val="22"/>
          <w:szCs w:val="22"/>
        </w:rPr>
        <w:t>pelo Operador do Programa Ambiente</w:t>
      </w:r>
      <w:r w:rsidR="0071660E">
        <w:rPr>
          <w:sz w:val="22"/>
          <w:szCs w:val="22"/>
        </w:rPr>
        <w:t xml:space="preserve"> que devem conter os seguintes elementos: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a) Identificação do projeto;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b) Identificação do procedimento de contratação (nº e data do contrato, nos casos da despesa decorrer no âmbito de um procedimento de contratação pública);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c) Identificação da despesa elegível (isolando o valor do IVA);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>d) Identificação do documento de despesa (fatura e recibo com o respetivo nº/</w:t>
      </w:r>
      <w:proofErr w:type="spellStart"/>
      <w:r w:rsidRPr="0071660E">
        <w:rPr>
          <w:rFonts w:ascii="Calibri" w:hAnsi="Calibri" w:cs="Calibri"/>
          <w:color w:val="000000"/>
        </w:rPr>
        <w:t>Ref.ª</w:t>
      </w:r>
      <w:proofErr w:type="spellEnd"/>
      <w:r w:rsidRPr="0071660E">
        <w:rPr>
          <w:rFonts w:ascii="Calibri" w:hAnsi="Calibri" w:cs="Calibri"/>
          <w:color w:val="000000"/>
        </w:rPr>
        <w:t xml:space="preserve">, data) e identificação do meio de pagamento/fluxo financeiro;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lastRenderedPageBreak/>
        <w:t xml:space="preserve">e) Identificação do registo contabilístico; </w:t>
      </w:r>
    </w:p>
    <w:p w:rsidR="0071660E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f) </w:t>
      </w:r>
      <w:r>
        <w:rPr>
          <w:rFonts w:ascii="Calibri" w:hAnsi="Calibri" w:cs="Calibri"/>
          <w:color w:val="000000"/>
        </w:rPr>
        <w:t>N</w:t>
      </w:r>
      <w:r w:rsidRPr="0071660E">
        <w:rPr>
          <w:rFonts w:ascii="Calibri" w:hAnsi="Calibri" w:cs="Calibri"/>
          <w:color w:val="000000"/>
        </w:rPr>
        <w:t xml:space="preserve">o caso de imputação parcial da despesa contida num documento, identificação do critério de imputação; </w:t>
      </w:r>
    </w:p>
    <w:p w:rsidR="0072458C" w:rsidRPr="0071660E" w:rsidRDefault="0071660E" w:rsidP="009C1758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g) Declaração de conformidade da lista apresentada e da ausência de imputação da despesa a outros mecanismos de financiamento, assinada pelo promotor do projeto. </w:t>
      </w:r>
    </w:p>
    <w:p w:rsidR="006538F5" w:rsidRDefault="006538F5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Documentos relativos aos procedimentos de contratação pública, nomeadamente </w:t>
      </w:r>
      <w:proofErr w:type="spellStart"/>
      <w:r w:rsidRPr="00C460C2">
        <w:rPr>
          <w:sz w:val="22"/>
          <w:szCs w:val="22"/>
        </w:rPr>
        <w:t>check-list</w:t>
      </w:r>
      <w:proofErr w:type="spellEnd"/>
      <w:r w:rsidRPr="00C460C2">
        <w:rPr>
          <w:sz w:val="22"/>
          <w:szCs w:val="22"/>
        </w:rPr>
        <w:t xml:space="preserve"> e comprovativos do cumprimento do regime jurídico aplicável; </w:t>
      </w:r>
    </w:p>
    <w:p w:rsidR="00024349" w:rsidRDefault="00024349" w:rsidP="009C175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 xml:space="preserve">Processo de abertura de conta bancária específica do projeto; </w:t>
      </w:r>
    </w:p>
    <w:p w:rsidR="00024349" w:rsidRPr="00024349" w:rsidRDefault="00024349" w:rsidP="009C175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Declarações devidamente atualizadas comprovativas de que tanto o promotor do projeto bem como os seus parceiros não são devedores à Administração Fiscal e à Segurança Social; </w:t>
      </w:r>
    </w:p>
    <w:p w:rsidR="006538F5" w:rsidRPr="00C460C2" w:rsidRDefault="00500D5E" w:rsidP="009C1758">
      <w:pPr>
        <w:pStyle w:val="Default"/>
        <w:numPr>
          <w:ilvl w:val="0"/>
          <w:numId w:val="3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>Outros documentos relevantes, nomeadamente troca de informação com pelo Operador do Programa Ambiente</w:t>
      </w:r>
      <w:r w:rsidR="006538F5" w:rsidRPr="00C460C2">
        <w:rPr>
          <w:sz w:val="22"/>
          <w:szCs w:val="22"/>
        </w:rPr>
        <w:t xml:space="preserve">. </w:t>
      </w:r>
    </w:p>
    <w:p w:rsidR="006538F5" w:rsidRPr="00C460C2" w:rsidRDefault="006538F5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Pagamentos </w:t>
      </w:r>
    </w:p>
    <w:p w:rsidR="006538F5" w:rsidRPr="00C460C2" w:rsidRDefault="006538F5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Extratos bancários do depósito das transferências de verbas recebidas </w:t>
      </w:r>
      <w:r w:rsidR="00500D5E" w:rsidRPr="00C460C2">
        <w:rPr>
          <w:sz w:val="22"/>
          <w:szCs w:val="22"/>
        </w:rPr>
        <w:t>do Operador do Programa Ambiente</w:t>
      </w:r>
      <w:r w:rsidRPr="00C460C2">
        <w:rPr>
          <w:sz w:val="22"/>
          <w:szCs w:val="22"/>
        </w:rPr>
        <w:t xml:space="preserve"> </w:t>
      </w:r>
    </w:p>
    <w:p w:rsidR="006538F5" w:rsidRPr="00C460C2" w:rsidRDefault="006538F5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com </w:t>
      </w:r>
      <w:r w:rsidR="00500D5E" w:rsidRPr="00C460C2">
        <w:rPr>
          <w:sz w:val="22"/>
          <w:szCs w:val="22"/>
        </w:rPr>
        <w:t>o Operador do Programa Ambiente</w:t>
      </w:r>
      <w:r w:rsidRPr="00C460C2">
        <w:rPr>
          <w:sz w:val="22"/>
          <w:szCs w:val="22"/>
        </w:rPr>
        <w:t xml:space="preserve"> 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Relatórios de execução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dos relatórios de progresso de execução e respetivos anexos, se aplicável;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Cópia do relatório final de execução e respetivos anexos, se aplicável;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Comprovativo da comunicação do resultado da avaliação do relatório final de execução;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Notificações relativas à emissão dos termos de encerramento do projeto por parte </w:t>
      </w:r>
      <w:r w:rsidR="00C460C2" w:rsidRPr="00C460C2">
        <w:rPr>
          <w:sz w:val="22"/>
          <w:szCs w:val="22"/>
        </w:rPr>
        <w:t>do Operador do Programa Ambiente.</w:t>
      </w:r>
      <w:r w:rsidRPr="00C460C2">
        <w:rPr>
          <w:sz w:val="22"/>
          <w:szCs w:val="22"/>
        </w:rPr>
        <w:t xml:space="preserve">;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Outros documentos relevantes, nomeadamente troca de informação com </w:t>
      </w:r>
      <w:r w:rsidR="00C460C2" w:rsidRPr="00C460C2">
        <w:rPr>
          <w:sz w:val="22"/>
          <w:szCs w:val="22"/>
        </w:rPr>
        <w:t>o Operador do Programa Ambiente.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Divulgação e publicitação do apoio </w:t>
      </w:r>
      <w:r w:rsidR="00C460C2" w:rsidRPr="00C460C2">
        <w:rPr>
          <w:b/>
          <w:sz w:val="22"/>
          <w:szCs w:val="22"/>
        </w:rPr>
        <w:t>do Programa Ambiente |EEA Grants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Evidências da divulgação e publicitação dos apoios recebidos, conforme requisitos de publicitação aplicáveis. 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Acompanhamento e controlo </w:t>
      </w:r>
    </w:p>
    <w:p w:rsidR="006A6C2B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Documentação relativa a auditorias e verificações no local realizadas ao projeto, respetivos relatórios, contraditórios e elementos que evidenciem o cumprimento de eventuais recomendações/correções; </w:t>
      </w:r>
    </w:p>
    <w:p w:rsidR="00024349" w:rsidRDefault="00024349" w:rsidP="009C17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t xml:space="preserve">Cronograma de realização física e financeira; </w:t>
      </w:r>
    </w:p>
    <w:p w:rsidR="00024349" w:rsidRDefault="00024349" w:rsidP="009C17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1660E">
        <w:rPr>
          <w:rFonts w:ascii="Calibri" w:hAnsi="Calibri" w:cs="Calibri"/>
          <w:color w:val="000000"/>
        </w:rPr>
        <w:lastRenderedPageBreak/>
        <w:t xml:space="preserve">Documento comprovativo da situação relativa ao IVA; </w:t>
      </w:r>
    </w:p>
    <w:p w:rsidR="00024349" w:rsidRPr="00024349" w:rsidRDefault="00024349" w:rsidP="009C17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 xml:space="preserve">Processos de concurso realizados para a execução do projeto; </w:t>
      </w:r>
    </w:p>
    <w:p w:rsidR="00024349" w:rsidRPr="00024349" w:rsidRDefault="00024349" w:rsidP="009C17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349">
        <w:rPr>
          <w:rFonts w:ascii="Calibri" w:hAnsi="Calibri" w:cs="Calibri"/>
          <w:color w:val="000000"/>
        </w:rPr>
        <w:t>Documentação relativa à publicidade dos apoios rec</w:t>
      </w:r>
      <w:r>
        <w:rPr>
          <w:rFonts w:ascii="Calibri" w:hAnsi="Calibri" w:cs="Calibri"/>
          <w:color w:val="000000"/>
        </w:rPr>
        <w:t>ebidos.</w:t>
      </w:r>
    </w:p>
    <w:p w:rsidR="006A6C2B" w:rsidRPr="0071660E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71660E">
        <w:rPr>
          <w:sz w:val="22"/>
          <w:szCs w:val="22"/>
        </w:rPr>
        <w:t xml:space="preserve">Outros documentos relevantes, nomeadamente troca de informação com </w:t>
      </w:r>
      <w:r w:rsidR="00C460C2" w:rsidRPr="0071660E">
        <w:rPr>
          <w:sz w:val="22"/>
          <w:szCs w:val="22"/>
        </w:rPr>
        <w:t>pelo Operador do Programa Ambiente e demais autoridades dos EEA Grants</w:t>
      </w:r>
      <w:r w:rsidR="0071660E" w:rsidRPr="0071660E">
        <w:rPr>
          <w:sz w:val="22"/>
          <w:szCs w:val="22"/>
        </w:rPr>
        <w:t xml:space="preserve"> como listas de presença em workshops, reuniões, atas, materiais produzidos para formação ou apoio ou equipamentos adquiridos, bem como verificação da presença física de recursos humanos afetos a determinadas</w:t>
      </w:r>
      <w:r w:rsidR="0071660E">
        <w:rPr>
          <w:sz w:val="22"/>
          <w:szCs w:val="22"/>
        </w:rPr>
        <w:t xml:space="preserve"> </w:t>
      </w:r>
      <w:r w:rsidR="0071660E" w:rsidRPr="0071660E">
        <w:rPr>
          <w:sz w:val="22"/>
          <w:szCs w:val="22"/>
        </w:rPr>
        <w:t>atividades dos projetos.</w:t>
      </w:r>
    </w:p>
    <w:p w:rsidR="006A6C2B" w:rsidRPr="00C460C2" w:rsidRDefault="006A6C2B" w:rsidP="009C1758">
      <w:pPr>
        <w:pStyle w:val="Default"/>
        <w:spacing w:after="160" w:line="259" w:lineRule="auto"/>
        <w:jc w:val="both"/>
        <w:rPr>
          <w:b/>
          <w:sz w:val="22"/>
          <w:szCs w:val="22"/>
        </w:rPr>
      </w:pPr>
      <w:r w:rsidRPr="00C460C2">
        <w:rPr>
          <w:b/>
          <w:sz w:val="22"/>
          <w:szCs w:val="22"/>
        </w:rPr>
        <w:t xml:space="preserve">Outros elementos </w:t>
      </w:r>
    </w:p>
    <w:p w:rsidR="006A6C2B" w:rsidRPr="00C460C2" w:rsidRDefault="006A6C2B" w:rsidP="009C1758">
      <w:pPr>
        <w:pStyle w:val="Default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C460C2">
        <w:rPr>
          <w:sz w:val="22"/>
          <w:szCs w:val="22"/>
        </w:rPr>
        <w:t xml:space="preserve">Todos os elementos que não tenham enquadramento nos itens acima referidos, mas essenciais à compreensão e preservação do histórico do financiamento da operação. </w:t>
      </w:r>
    </w:p>
    <w:sectPr w:rsidR="006A6C2B" w:rsidRPr="00C460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Header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569AFBA" wp14:editId="02875B53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92E92" w:rsidRDefault="00A92E92" w:rsidP="00A92E92">
          <w:pPr>
            <w:pStyle w:val="Header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Header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1DC73015" wp14:editId="7D8C608E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E92" w:rsidRDefault="00A92E92" w:rsidP="00500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437375"/>
    <w:rsid w:val="00500D5E"/>
    <w:rsid w:val="005D7ECE"/>
    <w:rsid w:val="00616B70"/>
    <w:rsid w:val="006538F5"/>
    <w:rsid w:val="006A6C2B"/>
    <w:rsid w:val="006D50C5"/>
    <w:rsid w:val="0071660E"/>
    <w:rsid w:val="0072458C"/>
    <w:rsid w:val="00753EEE"/>
    <w:rsid w:val="00885FEE"/>
    <w:rsid w:val="00986426"/>
    <w:rsid w:val="009C1758"/>
    <w:rsid w:val="009F0ED9"/>
    <w:rsid w:val="00A92E92"/>
    <w:rsid w:val="00C460C2"/>
    <w:rsid w:val="00D76FFA"/>
    <w:rsid w:val="00DC2F60"/>
    <w:rsid w:val="00E46DBA"/>
    <w:rsid w:val="00F466E5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E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92"/>
  </w:style>
  <w:style w:type="paragraph" w:styleId="Footer">
    <w:name w:val="footer"/>
    <w:basedOn w:val="Normal"/>
    <w:link w:val="FooterCha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2121-BBC2-404B-8343-581401A4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2020-05-07T10:05:00Z</dcterms:created>
  <dcterms:modified xsi:type="dcterms:W3CDTF">2020-05-07T10:05:00Z</dcterms:modified>
</cp:coreProperties>
</file>