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5D8" w:rsidRDefault="00DA75D8" w:rsidP="00DA75D8">
      <w:pPr>
        <w:jc w:val="right"/>
      </w:pPr>
    </w:p>
    <w:p w:rsidR="00DA75D8" w:rsidRPr="004675E0" w:rsidRDefault="00DA75D8" w:rsidP="00DA75D8">
      <w:pPr>
        <w:spacing w:after="0" w:line="240" w:lineRule="auto"/>
        <w:jc w:val="center"/>
        <w:rPr>
          <w:rFonts w:ascii="Arial" w:hAnsi="Arial" w:cs="Arial"/>
          <w:b/>
          <w:sz w:val="28"/>
          <w:szCs w:val="28"/>
          <w:lang w:val="en-US"/>
        </w:rPr>
      </w:pPr>
      <w:r w:rsidRPr="004675E0">
        <w:rPr>
          <w:rFonts w:ascii="Arial" w:hAnsi="Arial" w:cs="Arial"/>
          <w:b/>
          <w:sz w:val="28"/>
          <w:szCs w:val="28"/>
          <w:lang w:val="en-US"/>
        </w:rPr>
        <w:t>TERM OF RESPONSIBILITY</w:t>
      </w:r>
    </w:p>
    <w:p w:rsidR="00DA75D8" w:rsidRPr="004675E0" w:rsidRDefault="00DA75D8" w:rsidP="00DA75D8">
      <w:pPr>
        <w:spacing w:after="0" w:line="240" w:lineRule="auto"/>
        <w:jc w:val="center"/>
        <w:rPr>
          <w:rFonts w:ascii="Arial" w:hAnsi="Arial" w:cs="Arial"/>
          <w:b/>
          <w:sz w:val="28"/>
          <w:szCs w:val="28"/>
          <w:lang w:val="en-US"/>
        </w:rPr>
      </w:pPr>
    </w:p>
    <w:p w:rsidR="00DA75D8" w:rsidRPr="008B60A1" w:rsidRDefault="008B60A1" w:rsidP="008B60A1">
      <w:pPr>
        <w:spacing w:after="0" w:line="240" w:lineRule="auto"/>
        <w:jc w:val="center"/>
        <w:rPr>
          <w:rFonts w:ascii="Arial" w:hAnsi="Arial" w:cs="Arial"/>
          <w:sz w:val="16"/>
          <w:szCs w:val="16"/>
          <w:lang w:val="en-US"/>
        </w:rPr>
      </w:pPr>
      <w:r>
        <w:rPr>
          <w:rFonts w:ascii="Arial" w:hAnsi="Arial" w:cs="Arial"/>
          <w:sz w:val="16"/>
          <w:szCs w:val="16"/>
          <w:lang w:val="en-US"/>
        </w:rPr>
        <w:t xml:space="preserve">APPLICABLE TO </w:t>
      </w:r>
      <w:r w:rsidR="004B2490">
        <w:rPr>
          <w:rFonts w:ascii="Arial" w:hAnsi="Arial" w:cs="Arial"/>
          <w:sz w:val="16"/>
          <w:szCs w:val="16"/>
          <w:lang w:val="en-US"/>
        </w:rPr>
        <w:t xml:space="preserve">CANDIDATES IN THE QUALITY OF </w:t>
      </w:r>
      <w:r w:rsidRPr="008B60A1">
        <w:rPr>
          <w:rFonts w:ascii="Arial" w:hAnsi="Arial" w:cs="Arial"/>
          <w:sz w:val="16"/>
          <w:szCs w:val="16"/>
          <w:lang w:val="en-US"/>
        </w:rPr>
        <w:t>PROJECT PARTNERS FROM DONOR STATES</w:t>
      </w:r>
    </w:p>
    <w:p w:rsidR="008B60A1" w:rsidRPr="008B60A1" w:rsidRDefault="008B60A1" w:rsidP="008B60A1">
      <w:pPr>
        <w:spacing w:after="0" w:line="240" w:lineRule="auto"/>
        <w:jc w:val="center"/>
        <w:rPr>
          <w:rFonts w:ascii="Arial" w:hAnsi="Arial" w:cs="Arial"/>
          <w:b/>
          <w:sz w:val="20"/>
          <w:szCs w:val="20"/>
          <w:lang w:val="en-US"/>
        </w:rPr>
      </w:pPr>
    </w:p>
    <w:p w:rsidR="00DA75D8" w:rsidRPr="00EC069A" w:rsidRDefault="00DA75D8" w:rsidP="00DA75D8">
      <w:pPr>
        <w:autoSpaceDE w:val="0"/>
        <w:autoSpaceDN w:val="0"/>
        <w:adjustRightInd w:val="0"/>
        <w:spacing w:before="120" w:after="120" w:line="360" w:lineRule="auto"/>
        <w:jc w:val="both"/>
        <w:rPr>
          <w:rFonts w:ascii="Arial" w:hAnsi="Arial" w:cs="Arial"/>
          <w:sz w:val="20"/>
          <w:szCs w:val="20"/>
          <w:lang w:val="en-US"/>
        </w:rPr>
      </w:pPr>
      <w:r w:rsidRPr="003F4DEB">
        <w:rPr>
          <w:rFonts w:ascii="Arial" w:hAnsi="Arial" w:cs="Arial"/>
          <w:sz w:val="20"/>
          <w:szCs w:val="20"/>
          <w:lang w:val="en-US"/>
        </w:rPr>
        <w:t>[</w:t>
      </w:r>
      <w:r w:rsidRPr="003F4DEB">
        <w:rPr>
          <w:rFonts w:ascii="Arial" w:hAnsi="Arial" w:cs="Arial"/>
          <w:sz w:val="20"/>
          <w:szCs w:val="20"/>
          <w:highlight w:val="yellow"/>
          <w:lang w:val="en-US"/>
        </w:rPr>
        <w:t>Full name</w:t>
      </w:r>
      <w:r w:rsidRPr="003F4DEB">
        <w:rPr>
          <w:rFonts w:ascii="Arial" w:hAnsi="Arial" w:cs="Arial"/>
          <w:sz w:val="20"/>
          <w:szCs w:val="20"/>
          <w:lang w:val="en-US"/>
        </w:rPr>
        <w:t>], [</w:t>
      </w:r>
      <w:r w:rsidRPr="003F4DEB">
        <w:rPr>
          <w:rFonts w:ascii="Arial" w:hAnsi="Arial" w:cs="Arial"/>
          <w:sz w:val="20"/>
          <w:szCs w:val="20"/>
          <w:highlight w:val="yellow"/>
          <w:lang w:val="en-US"/>
        </w:rPr>
        <w:t>ID number</w:t>
      </w:r>
      <w:r w:rsidRPr="003F4DEB">
        <w:rPr>
          <w:rFonts w:ascii="Arial" w:hAnsi="Arial" w:cs="Arial"/>
          <w:sz w:val="20"/>
          <w:szCs w:val="20"/>
          <w:lang w:val="en-US"/>
        </w:rPr>
        <w:t>], [</w:t>
      </w:r>
      <w:r w:rsidRPr="003F4DEB">
        <w:rPr>
          <w:rFonts w:ascii="Arial" w:hAnsi="Arial" w:cs="Arial"/>
          <w:sz w:val="20"/>
          <w:szCs w:val="20"/>
          <w:highlight w:val="yellow"/>
          <w:lang w:val="en-US"/>
        </w:rPr>
        <w:t>Address</w:t>
      </w:r>
      <w:r w:rsidRPr="003F4DEB">
        <w:rPr>
          <w:rFonts w:ascii="Arial" w:hAnsi="Arial" w:cs="Arial"/>
          <w:sz w:val="20"/>
          <w:szCs w:val="20"/>
          <w:lang w:val="en-US"/>
        </w:rPr>
        <w:t>], [</w:t>
      </w:r>
      <w:r w:rsidRPr="003F4DEB">
        <w:rPr>
          <w:rFonts w:ascii="Arial" w:hAnsi="Arial" w:cs="Arial"/>
          <w:sz w:val="20"/>
          <w:szCs w:val="20"/>
          <w:highlight w:val="yellow"/>
          <w:lang w:val="en-US"/>
        </w:rPr>
        <w:t>Postal code</w:t>
      </w:r>
      <w:r w:rsidRPr="003F4DEB">
        <w:rPr>
          <w:rFonts w:ascii="Arial" w:hAnsi="Arial" w:cs="Arial"/>
          <w:sz w:val="20"/>
          <w:szCs w:val="20"/>
          <w:lang w:val="en-US"/>
        </w:rPr>
        <w:t>], as the legal representative of [</w:t>
      </w:r>
      <w:r w:rsidRPr="003F4DEB">
        <w:rPr>
          <w:rFonts w:ascii="Arial" w:hAnsi="Arial" w:cs="Arial"/>
          <w:sz w:val="20"/>
          <w:szCs w:val="20"/>
          <w:highlight w:val="yellow"/>
          <w:lang w:val="en-US"/>
        </w:rPr>
        <w:t>Entity name</w:t>
      </w:r>
      <w:r w:rsidRPr="003F4DEB">
        <w:rPr>
          <w:rFonts w:ascii="Arial" w:hAnsi="Arial" w:cs="Arial"/>
          <w:sz w:val="20"/>
          <w:szCs w:val="20"/>
          <w:lang w:val="en-US"/>
        </w:rPr>
        <w:t xml:space="preserve">], </w:t>
      </w:r>
      <w:r w:rsidR="003F4DEB">
        <w:rPr>
          <w:rFonts w:ascii="Arial" w:hAnsi="Arial" w:cs="Arial"/>
          <w:sz w:val="20"/>
          <w:szCs w:val="20"/>
          <w:lang w:val="en-US"/>
        </w:rPr>
        <w:t>[</w:t>
      </w:r>
      <w:r w:rsidR="003F4DEB" w:rsidRPr="00F421C3">
        <w:rPr>
          <w:rFonts w:ascii="Arial" w:hAnsi="Arial" w:cs="Arial"/>
          <w:sz w:val="20"/>
          <w:szCs w:val="20"/>
          <w:highlight w:val="yellow"/>
          <w:lang w:val="en-US"/>
        </w:rPr>
        <w:t>Organization</w:t>
      </w:r>
      <w:r w:rsidRPr="00F421C3">
        <w:rPr>
          <w:rFonts w:ascii="Arial" w:hAnsi="Arial" w:cs="Arial"/>
          <w:sz w:val="20"/>
          <w:szCs w:val="20"/>
          <w:highlight w:val="yellow"/>
          <w:lang w:val="en-US"/>
        </w:rPr>
        <w:t xml:space="preserve"> number</w:t>
      </w:r>
      <w:r w:rsidRPr="003F4DEB">
        <w:rPr>
          <w:rFonts w:ascii="Arial" w:hAnsi="Arial" w:cs="Arial"/>
          <w:sz w:val="20"/>
          <w:szCs w:val="20"/>
          <w:lang w:val="en-US"/>
        </w:rPr>
        <w:t>], [</w:t>
      </w:r>
      <w:r w:rsidRPr="00F421C3">
        <w:rPr>
          <w:rFonts w:ascii="Arial" w:hAnsi="Arial" w:cs="Arial"/>
          <w:sz w:val="20"/>
          <w:szCs w:val="20"/>
          <w:highlight w:val="yellow"/>
          <w:lang w:val="en-US"/>
        </w:rPr>
        <w:t>Ad</w:t>
      </w:r>
      <w:r w:rsidR="00F421C3" w:rsidRPr="00F421C3">
        <w:rPr>
          <w:rFonts w:ascii="Arial" w:hAnsi="Arial" w:cs="Arial"/>
          <w:sz w:val="20"/>
          <w:szCs w:val="20"/>
          <w:highlight w:val="yellow"/>
          <w:lang w:val="en-US"/>
        </w:rPr>
        <w:t>d</w:t>
      </w:r>
      <w:r w:rsidRPr="00F421C3">
        <w:rPr>
          <w:rFonts w:ascii="Arial" w:hAnsi="Arial" w:cs="Arial"/>
          <w:sz w:val="20"/>
          <w:szCs w:val="20"/>
          <w:highlight w:val="yellow"/>
          <w:lang w:val="en-US"/>
        </w:rPr>
        <w:t>ress</w:t>
      </w:r>
      <w:r w:rsidRPr="003F4DEB">
        <w:rPr>
          <w:rFonts w:ascii="Arial" w:hAnsi="Arial" w:cs="Arial"/>
          <w:sz w:val="20"/>
          <w:szCs w:val="20"/>
          <w:lang w:val="en-US"/>
        </w:rPr>
        <w:t>], [</w:t>
      </w:r>
      <w:r w:rsidRPr="00F421C3">
        <w:rPr>
          <w:rFonts w:ascii="Arial" w:hAnsi="Arial" w:cs="Arial"/>
          <w:sz w:val="20"/>
          <w:szCs w:val="20"/>
          <w:highlight w:val="yellow"/>
          <w:lang w:val="en-US"/>
        </w:rPr>
        <w:t>Postal code</w:t>
      </w:r>
      <w:r w:rsidRPr="003F4DEB">
        <w:rPr>
          <w:rFonts w:ascii="Arial" w:hAnsi="Arial" w:cs="Arial"/>
          <w:sz w:val="20"/>
          <w:szCs w:val="20"/>
          <w:lang w:val="en-US"/>
        </w:rPr>
        <w:t>]</w:t>
      </w:r>
      <w:r w:rsidR="00991986">
        <w:rPr>
          <w:rFonts w:ascii="Arial" w:hAnsi="Arial" w:cs="Arial"/>
          <w:sz w:val="20"/>
          <w:szCs w:val="20"/>
          <w:lang w:val="en-US"/>
        </w:rPr>
        <w:t xml:space="preserve"> </w:t>
      </w:r>
      <w:r w:rsidR="00E97C34">
        <w:rPr>
          <w:rStyle w:val="Refdenotaderodap"/>
          <w:rFonts w:ascii="Arial" w:hAnsi="Arial" w:cs="Arial"/>
          <w:sz w:val="20"/>
          <w:szCs w:val="20"/>
          <w:lang w:val="en-US"/>
        </w:rPr>
        <w:footnoteReference w:id="1"/>
      </w:r>
      <w:r w:rsidRPr="003F4DEB">
        <w:rPr>
          <w:rFonts w:ascii="Arial" w:hAnsi="Arial" w:cs="Arial"/>
          <w:sz w:val="20"/>
          <w:szCs w:val="20"/>
          <w:lang w:val="en-US"/>
        </w:rPr>
        <w:t xml:space="preserve">, candidate in the quality of Project Partner to the </w:t>
      </w:r>
      <w:r w:rsidRPr="003F4DEB">
        <w:rPr>
          <w:rFonts w:ascii="Arial" w:hAnsi="Arial" w:cs="Arial"/>
          <w:b/>
          <w:sz w:val="20"/>
          <w:szCs w:val="20"/>
          <w:lang w:val="en-US"/>
        </w:rPr>
        <w:t>Open</w:t>
      </w:r>
      <w:r w:rsidRPr="005A46C8">
        <w:rPr>
          <w:rFonts w:ascii="Arial" w:hAnsi="Arial" w:cs="Arial"/>
          <w:b/>
          <w:sz w:val="20"/>
          <w:szCs w:val="20"/>
          <w:lang w:val="en-US"/>
        </w:rPr>
        <w:t xml:space="preserve"> Call 2 of the Culture Programme, «</w:t>
      </w:r>
      <w:r w:rsidRPr="005A46C8">
        <w:rPr>
          <w:rFonts w:ascii="Arial" w:hAnsi="Arial" w:cs="Arial"/>
          <w:b/>
          <w:i/>
          <w:sz w:val="20"/>
          <w:szCs w:val="20"/>
          <w:lang w:val="en-US"/>
        </w:rPr>
        <w:t>Connecting Dots – Arts Mobility and Audience Development»</w:t>
      </w:r>
      <w:r w:rsidR="005A46C8">
        <w:rPr>
          <w:rFonts w:ascii="Arial" w:hAnsi="Arial" w:cs="Arial"/>
          <w:sz w:val="20"/>
          <w:szCs w:val="20"/>
          <w:lang w:val="en-US"/>
        </w:rPr>
        <w:t xml:space="preserve"> </w:t>
      </w:r>
      <w:r>
        <w:rPr>
          <w:rFonts w:ascii="Arial" w:hAnsi="Arial" w:cs="Arial"/>
          <w:sz w:val="20"/>
          <w:szCs w:val="20"/>
          <w:lang w:val="en-US"/>
        </w:rPr>
        <w:t>declares, under honor, that its represented</w:t>
      </w:r>
      <w:r w:rsidR="00991986">
        <w:rPr>
          <w:rFonts w:ascii="Arial" w:hAnsi="Arial" w:cs="Arial"/>
          <w:sz w:val="20"/>
          <w:szCs w:val="20"/>
          <w:lang w:val="en-US"/>
        </w:rPr>
        <w:t xml:space="preserve"> </w:t>
      </w:r>
      <w:r w:rsidR="008964EF">
        <w:rPr>
          <w:rStyle w:val="Refdenotaderodap"/>
          <w:rFonts w:ascii="Arial" w:hAnsi="Arial" w:cs="Arial"/>
          <w:sz w:val="20"/>
          <w:szCs w:val="20"/>
          <w:lang w:val="en-US"/>
        </w:rPr>
        <w:footnoteReference w:id="2"/>
      </w:r>
      <w:r>
        <w:rPr>
          <w:rFonts w:ascii="Arial" w:hAnsi="Arial" w:cs="Arial"/>
          <w:sz w:val="20"/>
          <w:szCs w:val="20"/>
          <w:lang w:val="en-US"/>
        </w:rPr>
        <w:t>:</w:t>
      </w:r>
      <w:r w:rsidRPr="00C21AE0">
        <w:rPr>
          <w:rFonts w:ascii="Arial" w:hAnsi="Arial" w:cs="Arial"/>
          <w:sz w:val="16"/>
          <w:szCs w:val="16"/>
          <w:lang w:val="en-US"/>
        </w:rPr>
        <w:t xml:space="preserve"> </w:t>
      </w:r>
    </w:p>
    <w:p w:rsidR="00DA75D8" w:rsidRPr="00EC069A" w:rsidRDefault="00DA75D8" w:rsidP="00DA75D8">
      <w:pPr>
        <w:pStyle w:val="PargrafodaLista"/>
        <w:numPr>
          <w:ilvl w:val="0"/>
          <w:numId w:val="1"/>
        </w:numPr>
        <w:autoSpaceDE w:val="0"/>
        <w:autoSpaceDN w:val="0"/>
        <w:adjustRightInd w:val="0"/>
        <w:spacing w:after="0" w:line="360" w:lineRule="auto"/>
        <w:ind w:left="720"/>
        <w:jc w:val="both"/>
        <w:rPr>
          <w:rFonts w:ascii="Arial" w:hAnsi="Arial" w:cs="Arial"/>
          <w:sz w:val="20"/>
          <w:szCs w:val="20"/>
          <w:lang w:val="en-US"/>
        </w:rPr>
      </w:pPr>
      <w:r>
        <w:rPr>
          <w:rFonts w:ascii="Arial" w:hAnsi="Arial" w:cs="Arial"/>
          <w:sz w:val="20"/>
          <w:szCs w:val="20"/>
          <w:lang w:val="en-US"/>
        </w:rPr>
        <w:t>Is</w:t>
      </w:r>
      <w:r w:rsidRPr="00EC069A">
        <w:rPr>
          <w:rFonts w:ascii="Arial" w:hAnsi="Arial" w:cs="Arial"/>
          <w:sz w:val="20"/>
          <w:szCs w:val="20"/>
          <w:lang w:val="en-US"/>
        </w:rPr>
        <w:t xml:space="preserve"> </w:t>
      </w:r>
      <w:r>
        <w:rPr>
          <w:rFonts w:ascii="Arial" w:hAnsi="Arial" w:cs="Arial"/>
          <w:sz w:val="20"/>
          <w:szCs w:val="20"/>
          <w:lang w:val="en-US"/>
        </w:rPr>
        <w:t xml:space="preserve">not </w:t>
      </w:r>
      <w:r w:rsidRPr="00EC069A">
        <w:rPr>
          <w:rFonts w:ascii="Arial" w:hAnsi="Arial" w:cs="Arial"/>
          <w:sz w:val="20"/>
          <w:szCs w:val="20"/>
          <w:lang w:val="en-US"/>
        </w:rPr>
        <w:t>in a state of bankruptcy, liquidation, cessation or suspension of activities, judicial winding-up of heritage assets, composition or similar action, or if are the subject of such proceedings;</w:t>
      </w:r>
    </w:p>
    <w:p w:rsidR="00DA75D8" w:rsidRPr="00AA646B" w:rsidRDefault="00DA75D8" w:rsidP="00DA75D8">
      <w:pPr>
        <w:pStyle w:val="PargrafodaLista"/>
        <w:numPr>
          <w:ilvl w:val="0"/>
          <w:numId w:val="1"/>
        </w:numPr>
        <w:autoSpaceDE w:val="0"/>
        <w:autoSpaceDN w:val="0"/>
        <w:adjustRightInd w:val="0"/>
        <w:spacing w:after="0" w:line="360" w:lineRule="auto"/>
        <w:ind w:left="720"/>
        <w:jc w:val="both"/>
        <w:rPr>
          <w:rFonts w:ascii="Arial" w:hAnsi="Arial" w:cs="Arial"/>
          <w:sz w:val="20"/>
          <w:szCs w:val="20"/>
          <w:lang w:val="en-US"/>
        </w:rPr>
      </w:pPr>
      <w:r w:rsidRPr="00AA646B">
        <w:rPr>
          <w:rFonts w:ascii="Arial" w:hAnsi="Arial" w:cs="Arial"/>
          <w:sz w:val="20"/>
          <w:szCs w:val="20"/>
          <w:lang w:val="en-US"/>
        </w:rPr>
        <w:t xml:space="preserve">Have not been convicted by a final judgment for an offence relating to professional matters </w:t>
      </w:r>
      <w:r w:rsidRPr="00F421C3">
        <w:rPr>
          <w:rFonts w:ascii="Arial" w:hAnsi="Arial" w:cs="Arial"/>
          <w:sz w:val="20"/>
          <w:szCs w:val="20"/>
          <w:lang w:val="en-US"/>
        </w:rPr>
        <w:t>[</w:t>
      </w:r>
      <w:r w:rsidRPr="00F421C3">
        <w:rPr>
          <w:rFonts w:ascii="Arial" w:hAnsi="Arial" w:cs="Arial"/>
          <w:sz w:val="20"/>
          <w:szCs w:val="20"/>
          <w:highlight w:val="yellow"/>
          <w:lang w:val="en-US"/>
        </w:rPr>
        <w:t>or if the members of the Board, directors or managers were not subject to administrative sanctions for an offence relating to professional matters</w:t>
      </w:r>
      <w:r w:rsidRPr="00F421C3">
        <w:rPr>
          <w:rFonts w:ascii="Arial" w:hAnsi="Arial" w:cs="Arial"/>
          <w:sz w:val="20"/>
          <w:szCs w:val="20"/>
          <w:lang w:val="en-US"/>
        </w:rPr>
        <w:t>]</w:t>
      </w:r>
      <w:r w:rsidRPr="00AA646B">
        <w:rPr>
          <w:rFonts w:ascii="Arial" w:hAnsi="Arial" w:cs="Arial"/>
          <w:sz w:val="16"/>
          <w:szCs w:val="16"/>
          <w:lang w:val="en-US"/>
        </w:rPr>
        <w:t>;</w:t>
      </w:r>
    </w:p>
    <w:p w:rsidR="00DA75D8" w:rsidRDefault="00DA75D8" w:rsidP="00DA75D8">
      <w:pPr>
        <w:pStyle w:val="PargrafodaLista"/>
        <w:numPr>
          <w:ilvl w:val="0"/>
          <w:numId w:val="1"/>
        </w:numPr>
        <w:autoSpaceDE w:val="0"/>
        <w:autoSpaceDN w:val="0"/>
        <w:adjustRightInd w:val="0"/>
        <w:spacing w:after="0" w:line="360" w:lineRule="auto"/>
        <w:ind w:left="720"/>
        <w:jc w:val="both"/>
        <w:rPr>
          <w:rFonts w:ascii="Arial" w:hAnsi="Arial" w:cs="Arial"/>
          <w:sz w:val="20"/>
          <w:szCs w:val="20"/>
          <w:lang w:val="en-US"/>
        </w:rPr>
      </w:pPr>
      <w:r w:rsidRPr="00FA2DCC">
        <w:rPr>
          <w:rFonts w:ascii="Arial" w:hAnsi="Arial" w:cs="Arial"/>
          <w:sz w:val="20"/>
          <w:szCs w:val="20"/>
          <w:lang w:val="en-US"/>
        </w:rPr>
        <w:t>Has not been subject to an administrative or judicial sanction for less than two years for the use of its labor service legally subject to the payment of taxes and social security contributions, not declared under impose such an obligation in Portugal (or in t</w:t>
      </w:r>
      <w:r>
        <w:rPr>
          <w:rFonts w:ascii="Arial" w:hAnsi="Arial" w:cs="Arial"/>
          <w:sz w:val="20"/>
          <w:szCs w:val="20"/>
          <w:lang w:val="en-US"/>
        </w:rPr>
        <w:t>he Member State of which it is</w:t>
      </w:r>
      <w:r w:rsidRPr="00FA2DCC">
        <w:rPr>
          <w:rFonts w:ascii="Arial" w:hAnsi="Arial" w:cs="Arial"/>
          <w:sz w:val="20"/>
          <w:szCs w:val="20"/>
          <w:lang w:val="en-US"/>
        </w:rPr>
        <w:t xml:space="preserve"> national or where it is established);</w:t>
      </w:r>
    </w:p>
    <w:p w:rsidR="00DA75D8" w:rsidRDefault="00DA75D8" w:rsidP="00DA75D8">
      <w:pPr>
        <w:pStyle w:val="PargrafodaLista"/>
        <w:numPr>
          <w:ilvl w:val="0"/>
          <w:numId w:val="1"/>
        </w:numPr>
        <w:autoSpaceDE w:val="0"/>
        <w:autoSpaceDN w:val="0"/>
        <w:adjustRightInd w:val="0"/>
        <w:spacing w:after="0" w:line="360" w:lineRule="auto"/>
        <w:ind w:left="720"/>
        <w:jc w:val="both"/>
        <w:rPr>
          <w:rFonts w:ascii="Arial" w:hAnsi="Arial" w:cs="Arial"/>
          <w:sz w:val="20"/>
          <w:szCs w:val="20"/>
          <w:lang w:val="en-US"/>
        </w:rPr>
      </w:pPr>
      <w:r w:rsidRPr="00FA2DCC">
        <w:rPr>
          <w:rFonts w:ascii="Arial" w:hAnsi="Arial"/>
          <w:sz w:val="20"/>
          <w:szCs w:val="20"/>
          <w:lang w:val="en-US"/>
        </w:rPr>
        <w:t xml:space="preserve">Is in a </w:t>
      </w:r>
      <w:r w:rsidR="00A376F9" w:rsidRPr="00FA2DCC">
        <w:rPr>
          <w:rFonts w:ascii="Arial" w:hAnsi="Arial"/>
          <w:sz w:val="20"/>
          <w:szCs w:val="20"/>
          <w:lang w:val="en-US"/>
        </w:rPr>
        <w:t>regulari</w:t>
      </w:r>
      <w:r w:rsidR="00A376F9">
        <w:rPr>
          <w:rFonts w:ascii="Arial" w:hAnsi="Arial"/>
          <w:sz w:val="20"/>
          <w:szCs w:val="20"/>
          <w:lang w:val="en-US"/>
        </w:rPr>
        <w:t>z</w:t>
      </w:r>
      <w:r w:rsidR="00A376F9" w:rsidRPr="00FA2DCC">
        <w:rPr>
          <w:rFonts w:ascii="Arial" w:hAnsi="Arial"/>
          <w:sz w:val="20"/>
          <w:szCs w:val="20"/>
          <w:lang w:val="en-US"/>
        </w:rPr>
        <w:t>ed</w:t>
      </w:r>
      <w:r w:rsidRPr="00FA2DCC">
        <w:rPr>
          <w:rFonts w:ascii="Arial" w:hAnsi="Arial"/>
          <w:sz w:val="20"/>
          <w:szCs w:val="20"/>
          <w:lang w:val="en-US"/>
        </w:rPr>
        <w:t xml:space="preserve"> situation relatively of social security contributions </w:t>
      </w:r>
      <w:r>
        <w:rPr>
          <w:rFonts w:ascii="Arial" w:hAnsi="Arial"/>
          <w:sz w:val="20"/>
          <w:szCs w:val="20"/>
          <w:lang w:val="en-US"/>
        </w:rPr>
        <w:t xml:space="preserve">and taxes debts </w:t>
      </w:r>
      <w:r w:rsidRPr="00FA2DCC">
        <w:rPr>
          <w:rFonts w:ascii="Arial" w:hAnsi="Arial"/>
          <w:sz w:val="20"/>
          <w:szCs w:val="20"/>
          <w:lang w:val="en-US"/>
        </w:rPr>
        <w:t>in Portugal (</w:t>
      </w:r>
      <w:r w:rsidRPr="00FA2DCC">
        <w:rPr>
          <w:rFonts w:ascii="Arial" w:hAnsi="Arial" w:cs="Arial"/>
          <w:sz w:val="20"/>
          <w:szCs w:val="20"/>
          <w:lang w:val="en-US"/>
        </w:rPr>
        <w:t>or in t</w:t>
      </w:r>
      <w:r>
        <w:rPr>
          <w:rFonts w:ascii="Arial" w:hAnsi="Arial" w:cs="Arial"/>
          <w:sz w:val="20"/>
          <w:szCs w:val="20"/>
          <w:lang w:val="en-US"/>
        </w:rPr>
        <w:t>he Member State of which it is</w:t>
      </w:r>
      <w:r w:rsidRPr="00FA2DCC">
        <w:rPr>
          <w:rFonts w:ascii="Arial" w:hAnsi="Arial" w:cs="Arial"/>
          <w:sz w:val="20"/>
          <w:szCs w:val="20"/>
          <w:lang w:val="en-US"/>
        </w:rPr>
        <w:t xml:space="preserve"> national or where it is established</w:t>
      </w:r>
      <w:r>
        <w:rPr>
          <w:rFonts w:ascii="Arial" w:hAnsi="Arial"/>
          <w:sz w:val="20"/>
          <w:szCs w:val="20"/>
          <w:lang w:val="en-US"/>
        </w:rPr>
        <w:t>)</w:t>
      </w:r>
      <w:r w:rsidRPr="00FA2DCC">
        <w:rPr>
          <w:rFonts w:ascii="Arial" w:hAnsi="Arial" w:cs="Arial"/>
          <w:sz w:val="20"/>
          <w:szCs w:val="20"/>
          <w:lang w:val="en-US"/>
        </w:rPr>
        <w:t>;</w:t>
      </w:r>
    </w:p>
    <w:p w:rsidR="00DA75D8" w:rsidRPr="001C48B8" w:rsidRDefault="002C2899" w:rsidP="00DA75D8">
      <w:pPr>
        <w:pStyle w:val="PargrafodaLista"/>
        <w:numPr>
          <w:ilvl w:val="0"/>
          <w:numId w:val="1"/>
        </w:numPr>
        <w:autoSpaceDE w:val="0"/>
        <w:autoSpaceDN w:val="0"/>
        <w:adjustRightInd w:val="0"/>
        <w:spacing w:after="0" w:line="360" w:lineRule="auto"/>
        <w:ind w:left="720"/>
        <w:jc w:val="both"/>
        <w:rPr>
          <w:rFonts w:ascii="Arial" w:hAnsi="Arial" w:cs="Arial"/>
          <w:sz w:val="20"/>
          <w:szCs w:val="20"/>
          <w:lang w:val="en-US"/>
        </w:rPr>
      </w:pPr>
      <w:r>
        <w:rPr>
          <w:rFonts w:ascii="Arial" w:hAnsi="Arial"/>
          <w:sz w:val="20"/>
          <w:szCs w:val="20"/>
          <w:lang w:val="en-US"/>
        </w:rPr>
        <w:t xml:space="preserve">Was not convicted </w:t>
      </w:r>
      <w:r w:rsidR="00DA75D8" w:rsidRPr="001C48B8">
        <w:rPr>
          <w:rFonts w:ascii="Arial" w:hAnsi="Arial"/>
          <w:sz w:val="20"/>
          <w:szCs w:val="20"/>
          <w:lang w:val="en-US"/>
        </w:rPr>
        <w:t xml:space="preserve">by final </w:t>
      </w:r>
      <w:r>
        <w:rPr>
          <w:rFonts w:ascii="Arial" w:hAnsi="Arial"/>
          <w:sz w:val="20"/>
          <w:szCs w:val="20"/>
          <w:lang w:val="en-US"/>
        </w:rPr>
        <w:t>court decision</w:t>
      </w:r>
      <w:r w:rsidR="00DA75D8" w:rsidRPr="001C48B8">
        <w:rPr>
          <w:rFonts w:ascii="Arial" w:hAnsi="Arial"/>
          <w:sz w:val="20"/>
          <w:szCs w:val="20"/>
          <w:lang w:val="en-US"/>
        </w:rPr>
        <w:t xml:space="preserve">, </w:t>
      </w:r>
      <w:r>
        <w:rPr>
          <w:rFonts w:ascii="Arial" w:hAnsi="Arial"/>
          <w:sz w:val="20"/>
          <w:szCs w:val="20"/>
          <w:lang w:val="en-US"/>
        </w:rPr>
        <w:t xml:space="preserve">or has been rehabilitated, </w:t>
      </w:r>
      <w:r w:rsidR="00DA75D8" w:rsidRPr="001C48B8">
        <w:rPr>
          <w:rFonts w:ascii="Arial" w:hAnsi="Arial"/>
          <w:sz w:val="20"/>
          <w:szCs w:val="20"/>
          <w:lang w:val="en-US"/>
        </w:rPr>
        <w:t xml:space="preserve">for any of the following crimes </w:t>
      </w:r>
      <w:r w:rsidR="00DA75D8" w:rsidRPr="00A376F9">
        <w:rPr>
          <w:rFonts w:ascii="Arial" w:hAnsi="Arial" w:cs="Arial"/>
          <w:sz w:val="20"/>
          <w:szCs w:val="20"/>
          <w:lang w:val="en-US"/>
        </w:rPr>
        <w:t>[</w:t>
      </w:r>
      <w:r w:rsidR="00DA75D8" w:rsidRPr="00A376F9">
        <w:rPr>
          <w:rFonts w:ascii="Arial" w:hAnsi="Arial" w:cs="Arial"/>
          <w:sz w:val="20"/>
          <w:szCs w:val="20"/>
          <w:highlight w:val="yellow"/>
          <w:lang w:val="en-US"/>
        </w:rPr>
        <w:t>or if the members of the Board, directors or managers were not convicted by final judgment, for any of the following crimes</w:t>
      </w:r>
      <w:r w:rsidR="00DA75D8" w:rsidRPr="00A376F9">
        <w:rPr>
          <w:rFonts w:ascii="Arial" w:hAnsi="Arial" w:cs="Arial"/>
          <w:sz w:val="20"/>
          <w:szCs w:val="20"/>
          <w:lang w:val="en-US"/>
        </w:rPr>
        <w:t>]</w:t>
      </w:r>
      <w:r w:rsidR="00DA75D8" w:rsidRPr="001C48B8">
        <w:rPr>
          <w:rFonts w:ascii="Arial" w:hAnsi="Arial" w:cs="Arial"/>
          <w:sz w:val="16"/>
          <w:szCs w:val="16"/>
          <w:lang w:val="en-US"/>
        </w:rPr>
        <w:t>:</w:t>
      </w:r>
    </w:p>
    <w:p w:rsidR="00DA75D8" w:rsidRPr="001B16F1" w:rsidRDefault="00DA75D8" w:rsidP="00DA75D8">
      <w:pPr>
        <w:pStyle w:val="PargrafodaLista"/>
        <w:numPr>
          <w:ilvl w:val="0"/>
          <w:numId w:val="2"/>
        </w:numPr>
        <w:autoSpaceDE w:val="0"/>
        <w:autoSpaceDN w:val="0"/>
        <w:adjustRightInd w:val="0"/>
        <w:spacing w:after="0" w:line="360" w:lineRule="auto"/>
        <w:jc w:val="both"/>
        <w:rPr>
          <w:rFonts w:ascii="Arial" w:hAnsi="Arial" w:cs="Arial"/>
          <w:sz w:val="20"/>
          <w:szCs w:val="20"/>
          <w:lang w:val="en-US"/>
        </w:rPr>
      </w:pPr>
      <w:r w:rsidRPr="001B16F1">
        <w:rPr>
          <w:rFonts w:ascii="Arial" w:hAnsi="Arial" w:cs="Arial"/>
          <w:sz w:val="20"/>
          <w:szCs w:val="20"/>
          <w:lang w:val="en-US"/>
        </w:rPr>
        <w:t xml:space="preserve">Participation in a criminal </w:t>
      </w:r>
      <w:r w:rsidR="00A376F9" w:rsidRPr="001B16F1">
        <w:rPr>
          <w:rFonts w:ascii="Arial" w:hAnsi="Arial" w:cs="Arial"/>
          <w:sz w:val="20"/>
          <w:szCs w:val="20"/>
          <w:lang w:val="en-US"/>
        </w:rPr>
        <w:t>organization</w:t>
      </w:r>
      <w:r w:rsidRPr="001B16F1">
        <w:rPr>
          <w:rFonts w:ascii="Arial" w:hAnsi="Arial" w:cs="Arial"/>
          <w:sz w:val="20"/>
          <w:szCs w:val="20"/>
          <w:lang w:val="en-US"/>
        </w:rPr>
        <w:t xml:space="preserve"> as defined in Article 2 of Common Action no. 98/773/JAI, of the Council</w:t>
      </w:r>
      <w:r w:rsidR="00A376F9">
        <w:rPr>
          <w:rFonts w:ascii="Arial" w:hAnsi="Arial" w:cs="Arial"/>
          <w:sz w:val="20"/>
          <w:szCs w:val="20"/>
          <w:lang w:val="en-US"/>
        </w:rPr>
        <w:t>;</w:t>
      </w:r>
    </w:p>
    <w:p w:rsidR="00DA75D8" w:rsidRPr="001B16F1" w:rsidRDefault="00DA75D8" w:rsidP="00DA75D8">
      <w:pPr>
        <w:pStyle w:val="PargrafodaLista"/>
        <w:numPr>
          <w:ilvl w:val="0"/>
          <w:numId w:val="2"/>
        </w:numPr>
        <w:autoSpaceDE w:val="0"/>
        <w:autoSpaceDN w:val="0"/>
        <w:adjustRightInd w:val="0"/>
        <w:spacing w:after="0" w:line="360" w:lineRule="auto"/>
        <w:jc w:val="both"/>
        <w:rPr>
          <w:rFonts w:ascii="Arial" w:hAnsi="Arial" w:cs="Arial"/>
          <w:sz w:val="20"/>
          <w:szCs w:val="20"/>
          <w:lang w:val="en-GB"/>
        </w:rPr>
      </w:pPr>
      <w:r w:rsidRPr="001B16F1">
        <w:rPr>
          <w:rFonts w:ascii="Arial" w:hAnsi="Arial" w:cs="Arial"/>
          <w:sz w:val="20"/>
          <w:szCs w:val="20"/>
          <w:lang w:val="en-GB"/>
        </w:rPr>
        <w:t>Corruption, within the meanings of Article 3 of the Act of the Council from 26th May 1997 and of Article 3 of Common Action no. 98/742/JAI, of the Council;</w:t>
      </w:r>
    </w:p>
    <w:p w:rsidR="00DA75D8" w:rsidRPr="001B16F1" w:rsidRDefault="00DA75D8" w:rsidP="00DA75D8">
      <w:pPr>
        <w:pStyle w:val="PargrafodaLista"/>
        <w:numPr>
          <w:ilvl w:val="0"/>
          <w:numId w:val="2"/>
        </w:numPr>
        <w:autoSpaceDE w:val="0"/>
        <w:autoSpaceDN w:val="0"/>
        <w:adjustRightInd w:val="0"/>
        <w:spacing w:after="0" w:line="360" w:lineRule="auto"/>
        <w:jc w:val="both"/>
        <w:rPr>
          <w:rFonts w:ascii="Arial" w:hAnsi="Arial" w:cs="Arial"/>
          <w:sz w:val="20"/>
          <w:szCs w:val="20"/>
          <w:lang w:val="en-GB"/>
        </w:rPr>
      </w:pPr>
      <w:r w:rsidRPr="001B16F1">
        <w:rPr>
          <w:rFonts w:ascii="Arial" w:hAnsi="Arial" w:cs="Arial"/>
          <w:sz w:val="20"/>
          <w:szCs w:val="20"/>
          <w:lang w:val="en-GB"/>
        </w:rPr>
        <w:t>Fraud , within the scope of Article 1 of the Convection concerning the Protection of the European Communities' Financial Interests;</w:t>
      </w:r>
    </w:p>
    <w:p w:rsidR="00DA75D8" w:rsidRPr="001B16F1" w:rsidRDefault="00DA75D8" w:rsidP="00DA75D8">
      <w:pPr>
        <w:pStyle w:val="PargrafodaLista"/>
        <w:numPr>
          <w:ilvl w:val="0"/>
          <w:numId w:val="2"/>
        </w:numPr>
        <w:autoSpaceDE w:val="0"/>
        <w:autoSpaceDN w:val="0"/>
        <w:adjustRightInd w:val="0"/>
        <w:spacing w:after="0" w:line="360" w:lineRule="auto"/>
        <w:jc w:val="both"/>
        <w:rPr>
          <w:rFonts w:ascii="Arial" w:hAnsi="Arial" w:cs="Arial"/>
          <w:sz w:val="20"/>
          <w:szCs w:val="20"/>
          <w:lang w:val="en-GB"/>
        </w:rPr>
      </w:pPr>
      <w:r w:rsidRPr="001B16F1">
        <w:rPr>
          <w:rFonts w:ascii="Arial" w:hAnsi="Arial" w:cs="Arial"/>
          <w:sz w:val="20"/>
          <w:szCs w:val="20"/>
          <w:lang w:val="en-GB"/>
        </w:rPr>
        <w:t>Money laundering, within the meanings of Article 1 of the Directive no. 91/308/CEE, from the Council of 10</w:t>
      </w:r>
      <w:r w:rsidRPr="001B16F1">
        <w:rPr>
          <w:rFonts w:ascii="Arial" w:hAnsi="Arial" w:cs="Arial"/>
          <w:sz w:val="20"/>
          <w:szCs w:val="20"/>
          <w:vertAlign w:val="superscript"/>
          <w:lang w:val="en-GB"/>
        </w:rPr>
        <w:t>th</w:t>
      </w:r>
      <w:r w:rsidRPr="001B16F1">
        <w:rPr>
          <w:rFonts w:ascii="Arial" w:hAnsi="Arial" w:cs="Arial"/>
          <w:sz w:val="20"/>
          <w:szCs w:val="20"/>
          <w:lang w:val="en-GB"/>
        </w:rPr>
        <w:t xml:space="preserve"> June, on the prevention of using financial system to money laundering.</w:t>
      </w:r>
    </w:p>
    <w:p w:rsidR="00DA75D8" w:rsidRDefault="00DA75D8" w:rsidP="00DA75D8">
      <w:pPr>
        <w:pStyle w:val="PargrafodaLista"/>
        <w:numPr>
          <w:ilvl w:val="0"/>
          <w:numId w:val="1"/>
        </w:numPr>
        <w:autoSpaceDE w:val="0"/>
        <w:autoSpaceDN w:val="0"/>
        <w:adjustRightInd w:val="0"/>
        <w:spacing w:after="0" w:line="360" w:lineRule="auto"/>
        <w:ind w:left="720"/>
        <w:jc w:val="both"/>
        <w:rPr>
          <w:rFonts w:ascii="Arial" w:hAnsi="Arial"/>
          <w:sz w:val="20"/>
          <w:szCs w:val="20"/>
          <w:lang w:val="en-US"/>
        </w:rPr>
      </w:pPr>
      <w:r>
        <w:rPr>
          <w:rFonts w:ascii="Arial" w:hAnsi="Arial"/>
          <w:sz w:val="20"/>
          <w:szCs w:val="20"/>
          <w:lang w:val="en-US"/>
        </w:rPr>
        <w:t>Approves</w:t>
      </w:r>
      <w:r w:rsidRPr="00A72575">
        <w:rPr>
          <w:rFonts w:ascii="Arial" w:hAnsi="Arial"/>
          <w:sz w:val="20"/>
          <w:szCs w:val="20"/>
          <w:lang w:val="en-US"/>
        </w:rPr>
        <w:t xml:space="preserve"> the submission of this application and is fully aware of the information contained therein</w:t>
      </w:r>
      <w:r>
        <w:rPr>
          <w:rFonts w:ascii="Arial" w:hAnsi="Arial"/>
          <w:sz w:val="20"/>
          <w:szCs w:val="20"/>
          <w:lang w:val="en-US"/>
        </w:rPr>
        <w:t>;</w:t>
      </w:r>
    </w:p>
    <w:p w:rsidR="00DA75D8" w:rsidRPr="0035677B" w:rsidRDefault="00DA75D8" w:rsidP="00DA75D8">
      <w:pPr>
        <w:pStyle w:val="PargrafodaLista"/>
        <w:numPr>
          <w:ilvl w:val="0"/>
          <w:numId w:val="1"/>
        </w:numPr>
        <w:autoSpaceDE w:val="0"/>
        <w:autoSpaceDN w:val="0"/>
        <w:adjustRightInd w:val="0"/>
        <w:spacing w:after="0" w:line="360" w:lineRule="auto"/>
        <w:ind w:left="720"/>
        <w:jc w:val="both"/>
        <w:rPr>
          <w:rFonts w:ascii="Arial" w:hAnsi="Arial"/>
          <w:sz w:val="20"/>
          <w:szCs w:val="20"/>
          <w:lang w:val="en-US"/>
        </w:rPr>
      </w:pPr>
      <w:r w:rsidRPr="0035677B">
        <w:rPr>
          <w:rFonts w:ascii="Arial" w:hAnsi="Arial"/>
          <w:sz w:val="20"/>
          <w:szCs w:val="20"/>
          <w:lang w:val="en-US"/>
        </w:rPr>
        <w:lastRenderedPageBreak/>
        <w:t xml:space="preserve">Is aware of </w:t>
      </w:r>
      <w:r w:rsidR="0035677B" w:rsidRPr="0035677B">
        <w:rPr>
          <w:rFonts w:ascii="Arial" w:hAnsi="Arial"/>
          <w:sz w:val="20"/>
          <w:szCs w:val="20"/>
          <w:lang w:val="en-US"/>
        </w:rPr>
        <w:t xml:space="preserve">and committed with </w:t>
      </w:r>
      <w:r w:rsidRPr="0035677B">
        <w:rPr>
          <w:rFonts w:ascii="Arial" w:hAnsi="Arial"/>
          <w:sz w:val="20"/>
          <w:szCs w:val="20"/>
          <w:lang w:val="en-US"/>
        </w:rPr>
        <w:t>the Regulation</w:t>
      </w:r>
      <w:r w:rsidR="005B17A5" w:rsidRPr="0035677B">
        <w:rPr>
          <w:rFonts w:ascii="Arial" w:hAnsi="Arial"/>
          <w:sz w:val="20"/>
          <w:szCs w:val="20"/>
          <w:lang w:val="en-US"/>
        </w:rPr>
        <w:t xml:space="preserve"> </w:t>
      </w:r>
      <w:r w:rsidR="005B17A5" w:rsidRPr="0035677B">
        <w:rPr>
          <w:rFonts w:ascii="Arial" w:hAnsi="Arial" w:cs="Arial"/>
          <w:sz w:val="20"/>
          <w:szCs w:val="20"/>
          <w:lang w:val="en-US"/>
        </w:rPr>
        <w:t>on the implementati</w:t>
      </w:r>
      <w:r w:rsidR="002E3838">
        <w:rPr>
          <w:rFonts w:ascii="Arial" w:hAnsi="Arial" w:cs="Arial"/>
          <w:sz w:val="20"/>
          <w:szCs w:val="20"/>
          <w:lang w:val="en-US"/>
        </w:rPr>
        <w:t xml:space="preserve">on of the EEA Grants 2014-2021, the Call #2 text and </w:t>
      </w:r>
      <w:r w:rsidR="005B17A5" w:rsidRPr="0035677B">
        <w:rPr>
          <w:rFonts w:ascii="Arial" w:hAnsi="Arial" w:cs="Arial"/>
          <w:sz w:val="20"/>
          <w:szCs w:val="20"/>
          <w:lang w:val="en-US"/>
        </w:rPr>
        <w:t>the official rules and guidelines accordingly established by the Programme Partner and Programme Operator</w:t>
      </w:r>
      <w:r w:rsidRPr="0035677B">
        <w:rPr>
          <w:rFonts w:ascii="Arial" w:hAnsi="Arial"/>
          <w:sz w:val="20"/>
          <w:szCs w:val="20"/>
          <w:lang w:val="en-US"/>
        </w:rPr>
        <w:t>, in particular the eligibility rules that apply to it;</w:t>
      </w:r>
    </w:p>
    <w:p w:rsidR="00DA75D8" w:rsidRDefault="00DA75D8" w:rsidP="00DA75D8">
      <w:pPr>
        <w:pStyle w:val="PargrafodaLista"/>
        <w:numPr>
          <w:ilvl w:val="0"/>
          <w:numId w:val="1"/>
        </w:numPr>
        <w:autoSpaceDE w:val="0"/>
        <w:autoSpaceDN w:val="0"/>
        <w:adjustRightInd w:val="0"/>
        <w:spacing w:after="0" w:line="360" w:lineRule="auto"/>
        <w:ind w:left="720"/>
        <w:jc w:val="both"/>
        <w:rPr>
          <w:rFonts w:ascii="Arial" w:hAnsi="Arial"/>
          <w:sz w:val="20"/>
          <w:szCs w:val="20"/>
          <w:lang w:val="en-US"/>
        </w:rPr>
      </w:pPr>
      <w:r>
        <w:rPr>
          <w:rFonts w:ascii="Arial" w:hAnsi="Arial"/>
          <w:sz w:val="20"/>
          <w:szCs w:val="20"/>
          <w:lang w:val="en-US"/>
        </w:rPr>
        <w:t>Commits</w:t>
      </w:r>
      <w:r w:rsidRPr="00A72575">
        <w:rPr>
          <w:rFonts w:ascii="Arial" w:hAnsi="Arial"/>
          <w:sz w:val="20"/>
          <w:szCs w:val="20"/>
          <w:lang w:val="en-US"/>
        </w:rPr>
        <w:t xml:space="preserve"> to implement the project in accordance with the provisions of the application, </w:t>
      </w:r>
      <w:r>
        <w:rPr>
          <w:rFonts w:ascii="Arial" w:hAnsi="Arial"/>
          <w:sz w:val="20"/>
          <w:szCs w:val="20"/>
          <w:lang w:val="en-US"/>
        </w:rPr>
        <w:t>in case of its approval</w:t>
      </w:r>
      <w:r w:rsidRPr="00A72575">
        <w:rPr>
          <w:rFonts w:ascii="Arial" w:hAnsi="Arial"/>
          <w:sz w:val="20"/>
          <w:szCs w:val="20"/>
          <w:lang w:val="en-US"/>
        </w:rPr>
        <w:t>;</w:t>
      </w:r>
    </w:p>
    <w:p w:rsidR="000D1B53" w:rsidRDefault="000D1B53" w:rsidP="000D1B53">
      <w:pPr>
        <w:pStyle w:val="PargrafodaLista"/>
        <w:numPr>
          <w:ilvl w:val="0"/>
          <w:numId w:val="1"/>
        </w:numPr>
        <w:autoSpaceDE w:val="0"/>
        <w:autoSpaceDN w:val="0"/>
        <w:adjustRightInd w:val="0"/>
        <w:spacing w:after="0" w:line="360" w:lineRule="auto"/>
        <w:ind w:left="720"/>
        <w:jc w:val="both"/>
        <w:rPr>
          <w:rFonts w:ascii="Arial" w:hAnsi="Arial"/>
          <w:sz w:val="20"/>
          <w:szCs w:val="20"/>
          <w:lang w:val="en-US"/>
        </w:rPr>
      </w:pPr>
      <w:r w:rsidRPr="000D1B53">
        <w:rPr>
          <w:rFonts w:ascii="Arial" w:hAnsi="Arial"/>
          <w:sz w:val="20"/>
          <w:szCs w:val="20"/>
          <w:lang w:val="en-US"/>
        </w:rPr>
        <w:t xml:space="preserve">Has all the licenses required for the exercise of the activities to be developed in the project partnership; </w:t>
      </w:r>
    </w:p>
    <w:p w:rsidR="00C91D3B" w:rsidRPr="00C91D3B" w:rsidRDefault="00C91D3B" w:rsidP="00C91D3B">
      <w:pPr>
        <w:pStyle w:val="PargrafodaLista"/>
        <w:numPr>
          <w:ilvl w:val="0"/>
          <w:numId w:val="1"/>
        </w:numPr>
        <w:autoSpaceDE w:val="0"/>
        <w:autoSpaceDN w:val="0"/>
        <w:adjustRightInd w:val="0"/>
        <w:spacing w:after="0" w:line="360" w:lineRule="auto"/>
        <w:ind w:left="720"/>
        <w:jc w:val="both"/>
        <w:rPr>
          <w:rFonts w:ascii="Arial" w:hAnsi="Arial"/>
          <w:sz w:val="20"/>
          <w:szCs w:val="20"/>
          <w:lang w:val="en-US"/>
        </w:rPr>
      </w:pPr>
      <w:r w:rsidRPr="00C91D3B">
        <w:rPr>
          <w:rFonts w:ascii="Arial" w:hAnsi="Arial"/>
          <w:sz w:val="20"/>
          <w:szCs w:val="20"/>
          <w:lang w:val="en-US"/>
        </w:rPr>
        <w:t xml:space="preserve">Complies with the NGO status under the legislation in the partners Donor States relevant for the eligibility of the cost of voluntary work; </w:t>
      </w:r>
    </w:p>
    <w:p w:rsidR="00DA75D8" w:rsidRPr="008A2CD0" w:rsidRDefault="00DA75D8" w:rsidP="00DA75D8">
      <w:pPr>
        <w:pStyle w:val="PargrafodaLista"/>
        <w:numPr>
          <w:ilvl w:val="0"/>
          <w:numId w:val="1"/>
        </w:numPr>
        <w:autoSpaceDE w:val="0"/>
        <w:autoSpaceDN w:val="0"/>
        <w:adjustRightInd w:val="0"/>
        <w:spacing w:after="0" w:line="360" w:lineRule="auto"/>
        <w:ind w:left="720"/>
        <w:jc w:val="both"/>
        <w:rPr>
          <w:rFonts w:ascii="Arial" w:hAnsi="Arial"/>
          <w:sz w:val="20"/>
          <w:szCs w:val="20"/>
          <w:lang w:val="en-US"/>
        </w:rPr>
      </w:pPr>
      <w:r w:rsidRPr="008A2CD0">
        <w:rPr>
          <w:rFonts w:ascii="Arial" w:hAnsi="Arial"/>
          <w:sz w:val="20"/>
          <w:szCs w:val="20"/>
          <w:lang w:val="en-US"/>
        </w:rPr>
        <w:t>D</w:t>
      </w:r>
      <w:r>
        <w:rPr>
          <w:rFonts w:ascii="Arial" w:hAnsi="Arial"/>
          <w:sz w:val="20"/>
          <w:szCs w:val="20"/>
          <w:lang w:val="en-US"/>
        </w:rPr>
        <w:t xml:space="preserve">id not request </w:t>
      </w:r>
      <w:r w:rsidRPr="008A2CD0">
        <w:rPr>
          <w:rFonts w:ascii="Arial" w:hAnsi="Arial"/>
          <w:sz w:val="20"/>
          <w:szCs w:val="20"/>
          <w:lang w:val="en-US"/>
        </w:rPr>
        <w:t xml:space="preserve">for, nor will request, </w:t>
      </w:r>
      <w:r>
        <w:rPr>
          <w:rFonts w:ascii="Arial" w:hAnsi="Arial"/>
          <w:sz w:val="20"/>
          <w:szCs w:val="20"/>
          <w:lang w:val="en-US"/>
        </w:rPr>
        <w:t xml:space="preserve">to </w:t>
      </w:r>
      <w:r w:rsidRPr="008A2CD0">
        <w:rPr>
          <w:rFonts w:ascii="Arial" w:hAnsi="Arial"/>
          <w:sz w:val="20"/>
          <w:szCs w:val="20"/>
          <w:lang w:val="en-US"/>
        </w:rPr>
        <w:t>another</w:t>
      </w:r>
      <w:r>
        <w:rPr>
          <w:rFonts w:ascii="Arial" w:hAnsi="Arial"/>
          <w:sz w:val="20"/>
          <w:szCs w:val="20"/>
          <w:lang w:val="en-US"/>
        </w:rPr>
        <w:t xml:space="preserve"> financing program or entity for</w:t>
      </w:r>
      <w:r w:rsidRPr="008A2CD0">
        <w:rPr>
          <w:rFonts w:ascii="Arial" w:hAnsi="Arial"/>
          <w:sz w:val="20"/>
          <w:szCs w:val="20"/>
          <w:lang w:val="en-US"/>
        </w:rPr>
        <w:t xml:space="preserve"> the same costs as those contained in this application;</w:t>
      </w:r>
    </w:p>
    <w:p w:rsidR="00DA75D8" w:rsidRDefault="00DA75D8" w:rsidP="00DA75D8">
      <w:pPr>
        <w:pStyle w:val="PargrafodaLista"/>
        <w:numPr>
          <w:ilvl w:val="0"/>
          <w:numId w:val="1"/>
        </w:numPr>
        <w:autoSpaceDE w:val="0"/>
        <w:autoSpaceDN w:val="0"/>
        <w:adjustRightInd w:val="0"/>
        <w:spacing w:after="0" w:line="360" w:lineRule="auto"/>
        <w:ind w:left="720"/>
        <w:jc w:val="both"/>
        <w:rPr>
          <w:rFonts w:ascii="Arial" w:hAnsi="Arial"/>
          <w:sz w:val="20"/>
          <w:szCs w:val="20"/>
          <w:lang w:val="en-US"/>
        </w:rPr>
      </w:pPr>
      <w:r w:rsidRPr="008A2CD0">
        <w:rPr>
          <w:rFonts w:ascii="Arial" w:hAnsi="Arial"/>
          <w:sz w:val="20"/>
          <w:szCs w:val="20"/>
          <w:lang w:val="en-US"/>
        </w:rPr>
        <w:t xml:space="preserve">Is aware that the non-compliance with any eligibility condition, or with the rules that regulate access to the </w:t>
      </w:r>
      <w:r>
        <w:rPr>
          <w:rFonts w:ascii="Arial" w:hAnsi="Arial"/>
          <w:sz w:val="20"/>
          <w:szCs w:val="20"/>
          <w:lang w:val="en-US"/>
        </w:rPr>
        <w:t>Call</w:t>
      </w:r>
      <w:r w:rsidRPr="008A2CD0">
        <w:rPr>
          <w:rFonts w:ascii="Arial" w:hAnsi="Arial"/>
          <w:sz w:val="20"/>
          <w:szCs w:val="20"/>
          <w:lang w:val="en-US"/>
        </w:rPr>
        <w:t xml:space="preserve"> </w:t>
      </w:r>
      <w:r w:rsidR="0035677B">
        <w:rPr>
          <w:rFonts w:ascii="Arial" w:hAnsi="Arial"/>
          <w:sz w:val="20"/>
          <w:szCs w:val="20"/>
          <w:lang w:val="en-US"/>
        </w:rPr>
        <w:t>2</w:t>
      </w:r>
      <w:r w:rsidRPr="008A2CD0">
        <w:rPr>
          <w:rFonts w:ascii="Arial" w:hAnsi="Arial"/>
          <w:sz w:val="20"/>
          <w:szCs w:val="20"/>
          <w:lang w:val="en-US"/>
        </w:rPr>
        <w:t xml:space="preserve"> of the Culture Program</w:t>
      </w:r>
      <w:r>
        <w:rPr>
          <w:rFonts w:ascii="Arial" w:hAnsi="Arial"/>
          <w:sz w:val="20"/>
          <w:szCs w:val="20"/>
          <w:lang w:val="en-US"/>
        </w:rPr>
        <w:t>me</w:t>
      </w:r>
      <w:r w:rsidRPr="008A2CD0">
        <w:rPr>
          <w:rFonts w:ascii="Arial" w:hAnsi="Arial"/>
          <w:sz w:val="20"/>
          <w:szCs w:val="20"/>
          <w:lang w:val="en-US"/>
        </w:rPr>
        <w:t>, determines the r</w:t>
      </w:r>
      <w:r>
        <w:rPr>
          <w:rFonts w:ascii="Arial" w:hAnsi="Arial"/>
          <w:sz w:val="20"/>
          <w:szCs w:val="20"/>
          <w:lang w:val="en-US"/>
        </w:rPr>
        <w:t>epeal</w:t>
      </w:r>
      <w:r w:rsidRPr="008A2CD0">
        <w:rPr>
          <w:rFonts w:ascii="Arial" w:hAnsi="Arial"/>
          <w:sz w:val="20"/>
          <w:szCs w:val="20"/>
          <w:lang w:val="en-US"/>
        </w:rPr>
        <w:t xml:space="preserve"> of the financing</w:t>
      </w:r>
      <w:r>
        <w:rPr>
          <w:rFonts w:ascii="Arial" w:hAnsi="Arial"/>
          <w:sz w:val="20"/>
          <w:szCs w:val="20"/>
          <w:lang w:val="en-US"/>
        </w:rPr>
        <w:t xml:space="preserve"> decision and the return of all the amounts </w:t>
      </w:r>
      <w:r w:rsidRPr="008A2CD0">
        <w:rPr>
          <w:rFonts w:ascii="Arial" w:hAnsi="Arial"/>
          <w:sz w:val="20"/>
          <w:szCs w:val="20"/>
          <w:lang w:val="en-US"/>
        </w:rPr>
        <w:t xml:space="preserve">paid in advance or </w:t>
      </w:r>
      <w:r>
        <w:rPr>
          <w:rFonts w:ascii="Arial" w:hAnsi="Arial"/>
          <w:sz w:val="20"/>
          <w:szCs w:val="20"/>
          <w:lang w:val="en-US"/>
        </w:rPr>
        <w:t>by reimbursement</w:t>
      </w:r>
      <w:r w:rsidRPr="008A2CD0">
        <w:rPr>
          <w:rFonts w:ascii="Arial" w:hAnsi="Arial"/>
          <w:sz w:val="20"/>
          <w:szCs w:val="20"/>
          <w:lang w:val="en-US"/>
        </w:rPr>
        <w:t>;</w:t>
      </w:r>
    </w:p>
    <w:p w:rsidR="00BD26CD" w:rsidRDefault="00802A87" w:rsidP="00BD26CD">
      <w:pPr>
        <w:pStyle w:val="PargrafodaLista"/>
        <w:numPr>
          <w:ilvl w:val="0"/>
          <w:numId w:val="1"/>
        </w:numPr>
        <w:autoSpaceDE w:val="0"/>
        <w:autoSpaceDN w:val="0"/>
        <w:adjustRightInd w:val="0"/>
        <w:spacing w:after="0" w:line="360" w:lineRule="auto"/>
        <w:ind w:left="720"/>
        <w:jc w:val="both"/>
        <w:rPr>
          <w:rFonts w:ascii="Arial" w:hAnsi="Arial"/>
          <w:sz w:val="20"/>
          <w:szCs w:val="20"/>
          <w:lang w:val="en-US"/>
        </w:rPr>
      </w:pPr>
      <w:r>
        <w:rPr>
          <w:rFonts w:ascii="Arial" w:hAnsi="Arial"/>
          <w:sz w:val="20"/>
          <w:szCs w:val="20"/>
          <w:lang w:val="en-US"/>
        </w:rPr>
        <w:t>Will adopt as t</w:t>
      </w:r>
      <w:r w:rsidR="00504E7F">
        <w:rPr>
          <w:rFonts w:ascii="Arial" w:hAnsi="Arial"/>
          <w:sz w:val="20"/>
          <w:szCs w:val="20"/>
          <w:lang w:val="en-US"/>
        </w:rPr>
        <w:t>he</w:t>
      </w:r>
      <w:r w:rsidR="00504E7F" w:rsidRPr="00504E7F">
        <w:rPr>
          <w:rFonts w:ascii="Arial" w:hAnsi="Arial"/>
          <w:sz w:val="20"/>
          <w:szCs w:val="20"/>
          <w:lang w:val="en-US"/>
        </w:rPr>
        <w:t xml:space="preserve"> </w:t>
      </w:r>
      <w:r>
        <w:rPr>
          <w:rFonts w:ascii="Arial" w:hAnsi="Arial"/>
          <w:sz w:val="20"/>
          <w:szCs w:val="20"/>
          <w:lang w:val="en-US"/>
        </w:rPr>
        <w:t xml:space="preserve">following method as the </w:t>
      </w:r>
      <w:r w:rsidR="00504E7F" w:rsidRPr="00504E7F">
        <w:rPr>
          <w:rFonts w:ascii="Arial" w:hAnsi="Arial"/>
          <w:sz w:val="20"/>
          <w:szCs w:val="20"/>
          <w:lang w:val="en-US"/>
        </w:rPr>
        <w:t xml:space="preserve">calculation method of the eligible direct costs with human resources </w:t>
      </w:r>
      <w:r w:rsidR="00504E7F">
        <w:rPr>
          <w:rFonts w:ascii="Arial" w:hAnsi="Arial"/>
          <w:sz w:val="20"/>
          <w:szCs w:val="20"/>
          <w:lang w:val="en-US"/>
        </w:rPr>
        <w:t>to be used under this project is</w:t>
      </w:r>
      <w:r>
        <w:rPr>
          <w:rFonts w:ascii="Arial" w:hAnsi="Arial"/>
          <w:sz w:val="20"/>
          <w:szCs w:val="20"/>
          <w:lang w:val="en-US"/>
        </w:rPr>
        <w:t xml:space="preserve"> </w:t>
      </w:r>
      <w:r w:rsidR="00F15BDC">
        <w:rPr>
          <w:rFonts w:ascii="Arial" w:hAnsi="Arial"/>
          <w:sz w:val="20"/>
          <w:szCs w:val="20"/>
          <w:lang w:val="en-US"/>
        </w:rPr>
        <w:t>[</w:t>
      </w:r>
      <w:r w:rsidRPr="00A376F9">
        <w:rPr>
          <w:rFonts w:ascii="Arial" w:hAnsi="Arial"/>
          <w:sz w:val="20"/>
          <w:szCs w:val="20"/>
          <w:highlight w:val="yellow"/>
          <w:lang w:val="en-US"/>
        </w:rPr>
        <w:t xml:space="preserve">delete </w:t>
      </w:r>
      <w:r w:rsidR="00F15BDC" w:rsidRPr="00A376F9">
        <w:rPr>
          <w:rFonts w:ascii="Arial" w:hAnsi="Arial"/>
          <w:sz w:val="20"/>
          <w:szCs w:val="20"/>
          <w:highlight w:val="yellow"/>
          <w:lang w:val="en-US"/>
        </w:rPr>
        <w:t xml:space="preserve">not </w:t>
      </w:r>
      <w:r w:rsidRPr="00A376F9">
        <w:rPr>
          <w:rFonts w:ascii="Arial" w:hAnsi="Arial"/>
          <w:sz w:val="20"/>
          <w:szCs w:val="20"/>
          <w:highlight w:val="yellow"/>
          <w:lang w:val="en-US"/>
        </w:rPr>
        <w:t>applicable options</w:t>
      </w:r>
      <w:r w:rsidR="00F15BDC">
        <w:rPr>
          <w:rFonts w:ascii="Arial" w:hAnsi="Arial"/>
          <w:sz w:val="20"/>
          <w:szCs w:val="20"/>
          <w:lang w:val="en-US"/>
        </w:rPr>
        <w:t>]</w:t>
      </w:r>
      <w:r w:rsidR="00504E7F">
        <w:rPr>
          <w:rFonts w:ascii="Arial" w:hAnsi="Arial"/>
          <w:sz w:val="20"/>
          <w:szCs w:val="20"/>
          <w:lang w:val="en-US"/>
        </w:rPr>
        <w:t xml:space="preserve">: </w:t>
      </w:r>
    </w:p>
    <w:p w:rsidR="00504E7F" w:rsidRPr="00BD26CD" w:rsidRDefault="002C67C4" w:rsidP="00BD26CD">
      <w:pPr>
        <w:pStyle w:val="PargrafodaLista"/>
        <w:autoSpaceDE w:val="0"/>
        <w:autoSpaceDN w:val="0"/>
        <w:adjustRightInd w:val="0"/>
        <w:spacing w:after="0" w:line="360" w:lineRule="auto"/>
        <w:ind w:firstLine="273"/>
        <w:jc w:val="both"/>
        <w:rPr>
          <w:rFonts w:ascii="Arial" w:hAnsi="Arial"/>
          <w:sz w:val="20"/>
          <w:szCs w:val="20"/>
          <w:lang w:val="en-US"/>
        </w:rPr>
      </w:pPr>
      <w:r>
        <w:rPr>
          <w:rFonts w:ascii="Arial" w:hAnsi="Arial" w:cs="Arial"/>
          <w:sz w:val="20"/>
          <w:szCs w:val="20"/>
          <w:lang w:val="en-US"/>
        </w:rPr>
        <w:t>I</w:t>
      </w:r>
      <w:r w:rsidR="00655F31" w:rsidRPr="00BD26CD">
        <w:rPr>
          <w:rFonts w:ascii="Arial" w:hAnsi="Arial" w:cs="Arial"/>
          <w:sz w:val="20"/>
          <w:szCs w:val="20"/>
          <w:lang w:val="en-US"/>
        </w:rPr>
        <w:t xml:space="preserve">. </w:t>
      </w:r>
      <w:r w:rsidR="00504E7F" w:rsidRPr="00BD26CD">
        <w:rPr>
          <w:rFonts w:ascii="Arial" w:hAnsi="Arial" w:cs="Arial"/>
          <w:sz w:val="20"/>
          <w:szCs w:val="20"/>
          <w:lang w:val="en-US"/>
        </w:rPr>
        <w:t>the real costs based calculation method</w:t>
      </w:r>
      <w:r w:rsidR="00655F31" w:rsidRPr="00BD26CD">
        <w:rPr>
          <w:rFonts w:ascii="Arial" w:hAnsi="Arial" w:cs="Arial"/>
          <w:sz w:val="20"/>
          <w:szCs w:val="20"/>
          <w:lang w:val="en-US"/>
        </w:rPr>
        <w:t>;</w:t>
      </w:r>
    </w:p>
    <w:p w:rsidR="00655F31" w:rsidRDefault="002C67C4" w:rsidP="00BD26CD">
      <w:pPr>
        <w:autoSpaceDE w:val="0"/>
        <w:autoSpaceDN w:val="0"/>
        <w:adjustRightInd w:val="0"/>
        <w:spacing w:after="0" w:line="360" w:lineRule="auto"/>
        <w:ind w:left="709" w:firstLine="273"/>
        <w:jc w:val="both"/>
        <w:rPr>
          <w:rFonts w:ascii="Arial" w:hAnsi="Arial" w:cs="Arial"/>
          <w:sz w:val="20"/>
          <w:szCs w:val="20"/>
          <w:lang w:val="en-US"/>
        </w:rPr>
      </w:pPr>
      <w:r>
        <w:rPr>
          <w:rFonts w:ascii="Arial" w:hAnsi="Arial" w:cs="Arial"/>
          <w:sz w:val="20"/>
          <w:szCs w:val="20"/>
          <w:lang w:val="en-US"/>
        </w:rPr>
        <w:t>I</w:t>
      </w:r>
      <w:r w:rsidR="00655F31" w:rsidRPr="00655F31">
        <w:rPr>
          <w:rFonts w:ascii="Arial" w:hAnsi="Arial" w:cs="Arial"/>
          <w:sz w:val="20"/>
          <w:szCs w:val="20"/>
          <w:lang w:val="en-US"/>
        </w:rPr>
        <w:t xml:space="preserve">. </w:t>
      </w:r>
      <w:r w:rsidR="00504E7F" w:rsidRPr="00655F31">
        <w:rPr>
          <w:rFonts w:ascii="Arial" w:hAnsi="Arial" w:cs="Arial"/>
          <w:sz w:val="20"/>
          <w:szCs w:val="20"/>
          <w:lang w:val="en-US"/>
        </w:rPr>
        <w:t>the calculation method according with the n.º 2 of article 6</w:t>
      </w:r>
      <w:r w:rsidR="00655F31">
        <w:rPr>
          <w:rFonts w:ascii="Arial" w:hAnsi="Arial" w:cs="Arial"/>
          <w:sz w:val="20"/>
          <w:szCs w:val="20"/>
          <w:lang w:val="en-US"/>
        </w:rPr>
        <w:t xml:space="preserve">8.º-A of the Regulation (EU) No </w:t>
      </w:r>
      <w:r w:rsidR="00504E7F" w:rsidRPr="00655F31">
        <w:rPr>
          <w:rFonts w:ascii="Arial" w:hAnsi="Arial" w:cs="Arial"/>
          <w:sz w:val="20"/>
          <w:szCs w:val="20"/>
          <w:lang w:val="en-US"/>
        </w:rPr>
        <w:t>1303/2013 of the European Parliament and of the Council of 17 December 2013 (consolidated version from 18-07-2020);</w:t>
      </w:r>
    </w:p>
    <w:p w:rsidR="00504E7F" w:rsidRPr="00655F31" w:rsidRDefault="00802A87" w:rsidP="00655F31">
      <w:pPr>
        <w:pStyle w:val="PargrafodaLista"/>
        <w:numPr>
          <w:ilvl w:val="0"/>
          <w:numId w:val="1"/>
        </w:numPr>
        <w:autoSpaceDE w:val="0"/>
        <w:autoSpaceDN w:val="0"/>
        <w:adjustRightInd w:val="0"/>
        <w:spacing w:after="0" w:line="360" w:lineRule="auto"/>
        <w:ind w:left="709"/>
        <w:jc w:val="both"/>
        <w:rPr>
          <w:rFonts w:ascii="Arial" w:hAnsi="Arial" w:cs="Arial"/>
          <w:sz w:val="20"/>
          <w:szCs w:val="20"/>
          <w:lang w:val="en-US"/>
        </w:rPr>
      </w:pPr>
      <w:r w:rsidRPr="00655F31">
        <w:rPr>
          <w:rFonts w:ascii="Arial" w:hAnsi="Arial"/>
          <w:sz w:val="20"/>
          <w:szCs w:val="20"/>
          <w:lang w:val="en-US"/>
        </w:rPr>
        <w:t xml:space="preserve">Will adopt  the following </w:t>
      </w:r>
      <w:r w:rsidR="00504E7F" w:rsidRPr="00655F31">
        <w:rPr>
          <w:rFonts w:ascii="Arial" w:hAnsi="Arial"/>
          <w:sz w:val="20"/>
          <w:szCs w:val="20"/>
          <w:lang w:val="en-US"/>
        </w:rPr>
        <w:t>calculation method of the eligible indirect costs acco</w:t>
      </w:r>
      <w:r w:rsidR="003A1048">
        <w:rPr>
          <w:rFonts w:ascii="Arial" w:hAnsi="Arial"/>
          <w:sz w:val="20"/>
          <w:szCs w:val="20"/>
          <w:lang w:val="en-US"/>
        </w:rPr>
        <w:t>rding with section 12.3 in the C</w:t>
      </w:r>
      <w:r w:rsidR="00504E7F" w:rsidRPr="00655F31">
        <w:rPr>
          <w:rFonts w:ascii="Arial" w:hAnsi="Arial"/>
          <w:sz w:val="20"/>
          <w:szCs w:val="20"/>
          <w:lang w:val="en-US"/>
        </w:rPr>
        <w:t>all #2 text</w:t>
      </w:r>
      <w:r w:rsidRPr="00655F31">
        <w:rPr>
          <w:rFonts w:ascii="Arial" w:hAnsi="Arial"/>
          <w:sz w:val="20"/>
          <w:szCs w:val="20"/>
          <w:lang w:val="en-US"/>
        </w:rPr>
        <w:t xml:space="preserve"> </w:t>
      </w:r>
      <w:r w:rsidR="00F15BDC" w:rsidRPr="00655F31">
        <w:rPr>
          <w:rFonts w:ascii="Arial" w:hAnsi="Arial"/>
          <w:sz w:val="20"/>
          <w:szCs w:val="20"/>
          <w:lang w:val="en-US"/>
        </w:rPr>
        <w:t>[</w:t>
      </w:r>
      <w:r w:rsidR="00BD26CD" w:rsidRPr="00BD26CD">
        <w:rPr>
          <w:rFonts w:ascii="Arial" w:hAnsi="Arial"/>
          <w:sz w:val="20"/>
          <w:szCs w:val="20"/>
          <w:highlight w:val="yellow"/>
          <w:lang w:val="en-US"/>
        </w:rPr>
        <w:t>delete not</w:t>
      </w:r>
      <w:r w:rsidRPr="00BD26CD">
        <w:rPr>
          <w:rFonts w:ascii="Arial" w:hAnsi="Arial"/>
          <w:sz w:val="20"/>
          <w:szCs w:val="20"/>
          <w:highlight w:val="yellow"/>
          <w:lang w:val="en-US"/>
        </w:rPr>
        <w:t xml:space="preserve"> applicable options</w:t>
      </w:r>
      <w:r w:rsidR="00F15BDC" w:rsidRPr="00655F31">
        <w:rPr>
          <w:rFonts w:ascii="Arial" w:hAnsi="Arial"/>
          <w:sz w:val="20"/>
          <w:szCs w:val="20"/>
          <w:lang w:val="en-US"/>
        </w:rPr>
        <w:t>]</w:t>
      </w:r>
      <w:r w:rsidRPr="00655F31">
        <w:rPr>
          <w:rFonts w:ascii="Arial" w:hAnsi="Arial"/>
          <w:sz w:val="20"/>
          <w:szCs w:val="20"/>
          <w:lang w:val="en-US"/>
        </w:rPr>
        <w:t>:</w:t>
      </w:r>
    </w:p>
    <w:p w:rsidR="00655F31" w:rsidRPr="00BD26CD" w:rsidRDefault="002C67C4" w:rsidP="00BD26CD">
      <w:pPr>
        <w:pStyle w:val="PargrafodaLista"/>
        <w:autoSpaceDE w:val="0"/>
        <w:autoSpaceDN w:val="0"/>
        <w:adjustRightInd w:val="0"/>
        <w:spacing w:after="0" w:line="360" w:lineRule="auto"/>
        <w:ind w:firstLine="414"/>
        <w:jc w:val="both"/>
        <w:rPr>
          <w:rFonts w:ascii="Arial" w:hAnsi="Arial" w:cs="Arial"/>
          <w:sz w:val="20"/>
          <w:szCs w:val="20"/>
          <w:lang w:val="en-US"/>
        </w:rPr>
      </w:pPr>
      <w:r>
        <w:rPr>
          <w:rFonts w:ascii="Arial" w:hAnsi="Arial" w:cs="Arial"/>
          <w:sz w:val="20"/>
          <w:szCs w:val="20"/>
          <w:lang w:val="en-US"/>
        </w:rPr>
        <w:t>I</w:t>
      </w:r>
      <w:r w:rsidR="00811C3E">
        <w:rPr>
          <w:rFonts w:ascii="Arial" w:hAnsi="Arial" w:cs="Arial"/>
          <w:sz w:val="20"/>
          <w:szCs w:val="20"/>
          <w:lang w:val="en-US"/>
        </w:rPr>
        <w:t xml:space="preserve">. </w:t>
      </w:r>
      <w:r w:rsidR="00655F31" w:rsidRPr="00BD26CD">
        <w:rPr>
          <w:rFonts w:ascii="Arial" w:hAnsi="Arial" w:cs="Arial"/>
          <w:sz w:val="20"/>
          <w:szCs w:val="20"/>
          <w:lang w:val="en-US"/>
        </w:rPr>
        <w:t xml:space="preserve">Based on actual indirect costs for those Project Promoters and project partners that have an analytical accounting system to identify their indirect costs as indicated above; </w:t>
      </w:r>
    </w:p>
    <w:p w:rsidR="00655F31" w:rsidRPr="00BD26CD" w:rsidRDefault="002C67C4" w:rsidP="00BD26CD">
      <w:pPr>
        <w:pStyle w:val="PargrafodaLista"/>
        <w:autoSpaceDE w:val="0"/>
        <w:autoSpaceDN w:val="0"/>
        <w:adjustRightInd w:val="0"/>
        <w:spacing w:after="0" w:line="360" w:lineRule="auto"/>
        <w:ind w:firstLine="414"/>
        <w:jc w:val="both"/>
        <w:rPr>
          <w:rFonts w:ascii="Arial" w:hAnsi="Arial" w:cs="Arial"/>
          <w:sz w:val="20"/>
          <w:szCs w:val="20"/>
          <w:lang w:val="en-US"/>
        </w:rPr>
      </w:pPr>
      <w:r>
        <w:rPr>
          <w:rFonts w:ascii="Arial" w:hAnsi="Arial" w:cs="Arial"/>
          <w:sz w:val="20"/>
          <w:szCs w:val="20"/>
          <w:lang w:val="en-US"/>
        </w:rPr>
        <w:t>II</w:t>
      </w:r>
      <w:r w:rsidR="00811C3E">
        <w:rPr>
          <w:rFonts w:ascii="Arial" w:hAnsi="Arial" w:cs="Arial"/>
          <w:sz w:val="20"/>
          <w:szCs w:val="20"/>
          <w:lang w:val="en-US"/>
        </w:rPr>
        <w:t>.</w:t>
      </w:r>
      <w:r w:rsidR="00655F31" w:rsidRPr="00BD26CD">
        <w:rPr>
          <w:rFonts w:ascii="Arial" w:hAnsi="Arial" w:cs="Arial"/>
          <w:sz w:val="20"/>
          <w:szCs w:val="20"/>
          <w:lang w:val="en-US"/>
        </w:rPr>
        <w:t xml:space="preserve"> A flat rate of up to 25% of total direct eligible costs, excluding direct eligible costs for subcontracting and the costs of resources made available by third parties which are not used on the premises of the Project Promoter or project partner; </w:t>
      </w:r>
    </w:p>
    <w:p w:rsidR="00655F31" w:rsidRPr="00BD26CD" w:rsidRDefault="002C67C4" w:rsidP="00BD26CD">
      <w:pPr>
        <w:pStyle w:val="PargrafodaLista"/>
        <w:autoSpaceDE w:val="0"/>
        <w:autoSpaceDN w:val="0"/>
        <w:adjustRightInd w:val="0"/>
        <w:spacing w:after="0" w:line="360" w:lineRule="auto"/>
        <w:ind w:firstLine="414"/>
        <w:jc w:val="both"/>
        <w:rPr>
          <w:rFonts w:ascii="Arial" w:hAnsi="Arial" w:cs="Arial"/>
          <w:sz w:val="20"/>
          <w:szCs w:val="20"/>
          <w:lang w:val="en-US"/>
        </w:rPr>
      </w:pPr>
      <w:r>
        <w:rPr>
          <w:rFonts w:ascii="Arial" w:hAnsi="Arial" w:cs="Arial"/>
          <w:sz w:val="20"/>
          <w:szCs w:val="20"/>
          <w:lang w:val="en-US"/>
        </w:rPr>
        <w:t>III</w:t>
      </w:r>
      <w:r w:rsidR="00811C3E">
        <w:rPr>
          <w:rFonts w:ascii="Arial" w:hAnsi="Arial" w:cs="Arial"/>
          <w:sz w:val="20"/>
          <w:szCs w:val="20"/>
          <w:lang w:val="en-US"/>
        </w:rPr>
        <w:t xml:space="preserve">. </w:t>
      </w:r>
      <w:r w:rsidR="00655F31" w:rsidRPr="00BD26CD">
        <w:rPr>
          <w:rFonts w:ascii="Arial" w:hAnsi="Arial" w:cs="Arial"/>
          <w:sz w:val="20"/>
          <w:szCs w:val="20"/>
          <w:lang w:val="en-US"/>
        </w:rPr>
        <w:t>A flat rate of up to 15% of direct eligible staff costs without there being a requirement for the Programme Operator to perform a calculation to determine the applicable rate;</w:t>
      </w:r>
    </w:p>
    <w:p w:rsidR="00BD26CD" w:rsidRDefault="002C67C4" w:rsidP="00BD26CD">
      <w:pPr>
        <w:pStyle w:val="PargrafodaLista"/>
        <w:autoSpaceDE w:val="0"/>
        <w:autoSpaceDN w:val="0"/>
        <w:adjustRightInd w:val="0"/>
        <w:spacing w:after="0" w:line="360" w:lineRule="auto"/>
        <w:ind w:firstLine="414"/>
        <w:jc w:val="both"/>
        <w:rPr>
          <w:rFonts w:ascii="Arial" w:hAnsi="Arial" w:cs="Arial"/>
          <w:sz w:val="20"/>
          <w:szCs w:val="20"/>
          <w:lang w:val="en-US"/>
        </w:rPr>
      </w:pPr>
      <w:r>
        <w:rPr>
          <w:rFonts w:ascii="Arial" w:hAnsi="Arial" w:cs="Arial"/>
          <w:sz w:val="20"/>
          <w:szCs w:val="20"/>
          <w:lang w:val="en-US"/>
        </w:rPr>
        <w:t>IV</w:t>
      </w:r>
      <w:r w:rsidR="00811C3E">
        <w:rPr>
          <w:rFonts w:ascii="Arial" w:hAnsi="Arial" w:cs="Arial"/>
          <w:sz w:val="20"/>
          <w:szCs w:val="20"/>
          <w:lang w:val="en-US"/>
        </w:rPr>
        <w:t xml:space="preserve">. </w:t>
      </w:r>
      <w:r w:rsidR="00655F31" w:rsidRPr="00BD26CD">
        <w:rPr>
          <w:rFonts w:ascii="Arial" w:hAnsi="Arial" w:cs="Arial"/>
          <w:sz w:val="20"/>
          <w:szCs w:val="20"/>
          <w:lang w:val="en-US"/>
        </w:rPr>
        <w:t>A flat rate applied to direct eligible costs based on existing methods and corresponding rates applicable in European Union policies for similar types of project and Project Promoter</w:t>
      </w:r>
      <w:r w:rsidR="00BD26CD">
        <w:rPr>
          <w:rFonts w:ascii="Arial" w:hAnsi="Arial" w:cs="Arial"/>
          <w:sz w:val="20"/>
          <w:szCs w:val="20"/>
          <w:lang w:val="en-US"/>
        </w:rPr>
        <w:t>;</w:t>
      </w:r>
    </w:p>
    <w:p w:rsidR="00811C3E" w:rsidRDefault="002C67C4" w:rsidP="00BD26CD">
      <w:pPr>
        <w:pStyle w:val="PargrafodaLista"/>
        <w:autoSpaceDE w:val="0"/>
        <w:autoSpaceDN w:val="0"/>
        <w:adjustRightInd w:val="0"/>
        <w:spacing w:after="0" w:line="360" w:lineRule="auto"/>
        <w:ind w:firstLine="414"/>
        <w:jc w:val="both"/>
        <w:rPr>
          <w:rFonts w:ascii="Arial" w:hAnsi="Arial" w:cs="Arial"/>
          <w:sz w:val="20"/>
          <w:szCs w:val="20"/>
          <w:lang w:val="en-US"/>
        </w:rPr>
      </w:pPr>
      <w:r>
        <w:rPr>
          <w:rFonts w:ascii="Arial" w:hAnsi="Arial" w:cs="Arial"/>
          <w:sz w:val="20"/>
          <w:szCs w:val="20"/>
          <w:lang w:val="en-US"/>
        </w:rPr>
        <w:t>V</w:t>
      </w:r>
      <w:r w:rsidR="007B28C2">
        <w:rPr>
          <w:rFonts w:ascii="Arial" w:hAnsi="Arial" w:cs="Arial"/>
          <w:sz w:val="20"/>
          <w:szCs w:val="20"/>
          <w:lang w:val="en-US"/>
        </w:rPr>
        <w:t xml:space="preserve">. Chooses </w:t>
      </w:r>
      <w:r w:rsidR="00811C3E">
        <w:rPr>
          <w:rFonts w:ascii="Arial" w:hAnsi="Arial" w:cs="Arial"/>
          <w:sz w:val="20"/>
          <w:szCs w:val="20"/>
          <w:lang w:val="en-US"/>
        </w:rPr>
        <w:t>not</w:t>
      </w:r>
      <w:r w:rsidR="007B28C2">
        <w:rPr>
          <w:rFonts w:ascii="Arial" w:hAnsi="Arial" w:cs="Arial"/>
          <w:sz w:val="20"/>
          <w:szCs w:val="20"/>
          <w:lang w:val="en-US"/>
        </w:rPr>
        <w:t xml:space="preserve"> to</w:t>
      </w:r>
      <w:r w:rsidR="00811C3E">
        <w:rPr>
          <w:rFonts w:ascii="Arial" w:hAnsi="Arial" w:cs="Arial"/>
          <w:sz w:val="20"/>
          <w:szCs w:val="20"/>
          <w:lang w:val="en-US"/>
        </w:rPr>
        <w:t xml:space="preserve"> present eligible indirect </w:t>
      </w:r>
      <w:r w:rsidR="00811C3E" w:rsidRPr="00811C3E">
        <w:rPr>
          <w:rFonts w:ascii="Arial" w:hAnsi="Arial" w:cs="Arial"/>
          <w:sz w:val="20"/>
          <w:szCs w:val="20"/>
          <w:lang w:val="en-US"/>
        </w:rPr>
        <w:t>expenditures</w:t>
      </w:r>
      <w:r w:rsidR="007B28C2">
        <w:rPr>
          <w:rFonts w:ascii="Arial" w:hAnsi="Arial" w:cs="Arial"/>
          <w:sz w:val="20"/>
          <w:szCs w:val="20"/>
          <w:lang w:val="en-US"/>
        </w:rPr>
        <w:t xml:space="preserve"> and </w:t>
      </w:r>
      <w:r w:rsidR="00D402A0">
        <w:rPr>
          <w:rFonts w:ascii="Arial" w:hAnsi="Arial" w:cs="Arial"/>
          <w:sz w:val="20"/>
          <w:szCs w:val="20"/>
          <w:lang w:val="en-US"/>
        </w:rPr>
        <w:t>not</w:t>
      </w:r>
      <w:r w:rsidR="007B28C2">
        <w:rPr>
          <w:rFonts w:ascii="Arial" w:hAnsi="Arial" w:cs="Arial"/>
          <w:sz w:val="20"/>
          <w:szCs w:val="20"/>
          <w:lang w:val="en-US"/>
        </w:rPr>
        <w:t xml:space="preserve"> to</w:t>
      </w:r>
      <w:r w:rsidR="00D402A0">
        <w:rPr>
          <w:rFonts w:ascii="Arial" w:hAnsi="Arial" w:cs="Arial"/>
          <w:sz w:val="20"/>
          <w:szCs w:val="20"/>
          <w:lang w:val="en-US"/>
        </w:rPr>
        <w:t xml:space="preserve"> present </w:t>
      </w:r>
      <w:r w:rsidR="001314CB">
        <w:rPr>
          <w:rFonts w:ascii="Arial" w:hAnsi="Arial" w:cs="Arial"/>
          <w:sz w:val="20"/>
          <w:szCs w:val="20"/>
          <w:lang w:val="en-US"/>
        </w:rPr>
        <w:t xml:space="preserve">any </w:t>
      </w:r>
      <w:r w:rsidR="00D402A0">
        <w:rPr>
          <w:rFonts w:ascii="Arial" w:hAnsi="Arial" w:cs="Arial"/>
          <w:sz w:val="20"/>
          <w:szCs w:val="20"/>
          <w:lang w:val="en-US"/>
        </w:rPr>
        <w:t>budget under this item.</w:t>
      </w:r>
      <w:r w:rsidR="00811C3E">
        <w:rPr>
          <w:rFonts w:ascii="Arial" w:hAnsi="Arial" w:cs="Arial"/>
          <w:sz w:val="20"/>
          <w:szCs w:val="20"/>
          <w:lang w:val="en-US"/>
        </w:rPr>
        <w:t xml:space="preserve"> </w:t>
      </w:r>
    </w:p>
    <w:p w:rsidR="00175BA4" w:rsidRPr="00224EF0" w:rsidRDefault="00BD26CD" w:rsidP="00224EF0">
      <w:pPr>
        <w:autoSpaceDE w:val="0"/>
        <w:autoSpaceDN w:val="0"/>
        <w:adjustRightInd w:val="0"/>
        <w:spacing w:after="0" w:line="360" w:lineRule="auto"/>
        <w:ind w:left="709" w:hanging="283"/>
        <w:jc w:val="both"/>
        <w:rPr>
          <w:rFonts w:ascii="Arial" w:hAnsi="Arial"/>
          <w:sz w:val="20"/>
          <w:szCs w:val="20"/>
          <w:lang w:val="en-US"/>
        </w:rPr>
      </w:pPr>
      <w:r>
        <w:rPr>
          <w:rFonts w:ascii="Arial" w:hAnsi="Arial"/>
          <w:sz w:val="20"/>
          <w:szCs w:val="20"/>
          <w:lang w:val="en-US"/>
        </w:rPr>
        <w:lastRenderedPageBreak/>
        <w:t>o)</w:t>
      </w:r>
      <w:r>
        <w:rPr>
          <w:rFonts w:ascii="Arial" w:hAnsi="Arial"/>
          <w:sz w:val="20"/>
          <w:szCs w:val="20"/>
          <w:lang w:val="en-US"/>
        </w:rPr>
        <w:tab/>
      </w:r>
      <w:r w:rsidRPr="00BD26CD">
        <w:rPr>
          <w:rFonts w:ascii="Arial" w:hAnsi="Arial"/>
          <w:sz w:val="20"/>
          <w:szCs w:val="20"/>
          <w:lang w:val="en-US"/>
        </w:rPr>
        <w:t>H</w:t>
      </w:r>
      <w:r w:rsidR="00467F6D" w:rsidRPr="00BD26CD">
        <w:rPr>
          <w:rFonts w:ascii="Arial" w:hAnsi="Arial"/>
          <w:sz w:val="20"/>
          <w:szCs w:val="20"/>
          <w:lang w:val="en-US"/>
        </w:rPr>
        <w:t>as</w:t>
      </w:r>
      <w:r w:rsidR="0023305A">
        <w:rPr>
          <w:rFonts w:ascii="Arial" w:hAnsi="Arial"/>
          <w:sz w:val="20"/>
          <w:szCs w:val="20"/>
          <w:lang w:val="en-US"/>
        </w:rPr>
        <w:t xml:space="preserve">, restricted to the case the entity assumes co financing responsibility for its part of the budget, </w:t>
      </w:r>
      <w:r w:rsidR="00467F6D" w:rsidRPr="00BD26CD">
        <w:rPr>
          <w:rFonts w:ascii="Arial" w:hAnsi="Arial"/>
          <w:sz w:val="20"/>
          <w:szCs w:val="20"/>
          <w:lang w:val="en-US"/>
        </w:rPr>
        <w:t xml:space="preserve"> its own financial resources and c</w:t>
      </w:r>
      <w:r w:rsidR="004C7134" w:rsidRPr="00BD26CD">
        <w:rPr>
          <w:rFonts w:ascii="Arial" w:hAnsi="Arial"/>
          <w:sz w:val="20"/>
          <w:szCs w:val="20"/>
          <w:lang w:val="en-US"/>
        </w:rPr>
        <w:t>ommits to ensure the necessary financial contribution for the good execution of the project, under the terms provided for in points 7 and 8 of the Call 2 text</w:t>
      </w:r>
      <w:r w:rsidR="00467F6D" w:rsidRPr="00BD26CD">
        <w:rPr>
          <w:rFonts w:ascii="Arial" w:hAnsi="Arial"/>
          <w:sz w:val="20"/>
          <w:szCs w:val="20"/>
          <w:lang w:val="en-US"/>
        </w:rPr>
        <w:t xml:space="preserve">, </w:t>
      </w:r>
      <w:r w:rsidR="00175BA4" w:rsidRPr="00BD26CD">
        <w:rPr>
          <w:rFonts w:ascii="Arial" w:hAnsi="Arial"/>
          <w:sz w:val="20"/>
          <w:szCs w:val="20"/>
          <w:lang w:val="en-US"/>
        </w:rPr>
        <w:t xml:space="preserve">regarding the eligible expenditure not covered by the EEA </w:t>
      </w:r>
      <w:r w:rsidR="00224EF0">
        <w:rPr>
          <w:rFonts w:ascii="Arial" w:hAnsi="Arial"/>
          <w:sz w:val="20"/>
          <w:szCs w:val="20"/>
          <w:lang w:val="en-US"/>
        </w:rPr>
        <w:t xml:space="preserve">Grants funds, through: </w:t>
      </w:r>
      <w:r w:rsidR="00175BA4" w:rsidRPr="00BD26CD">
        <w:rPr>
          <w:rFonts w:ascii="Arial" w:hAnsi="Arial"/>
          <w:sz w:val="20"/>
          <w:szCs w:val="20"/>
          <w:lang w:val="en-US"/>
        </w:rPr>
        <w:t>[</w:t>
      </w:r>
      <w:r w:rsidR="00175BA4" w:rsidRPr="0023305A">
        <w:rPr>
          <w:rFonts w:ascii="Arial" w:hAnsi="Arial"/>
          <w:sz w:val="20"/>
          <w:szCs w:val="20"/>
          <w:highlight w:val="yellow"/>
          <w:lang w:val="en-US"/>
        </w:rPr>
        <w:t>identify the forms of financ</w:t>
      </w:r>
      <w:r w:rsidR="00533E2C" w:rsidRPr="0023305A">
        <w:rPr>
          <w:rFonts w:ascii="Arial" w:hAnsi="Arial"/>
          <w:sz w:val="20"/>
          <w:szCs w:val="20"/>
          <w:highlight w:val="yellow"/>
          <w:lang w:val="en-US"/>
        </w:rPr>
        <w:t>e for the funding to be made available in order to cover the eligible expenditure not covered by EEA Grants</w:t>
      </w:r>
      <w:r w:rsidR="0023305A">
        <w:rPr>
          <w:rFonts w:ascii="Arial" w:hAnsi="Arial"/>
          <w:sz w:val="20"/>
          <w:szCs w:val="20"/>
          <w:lang w:val="en-US"/>
        </w:rPr>
        <w:t xml:space="preserve"> </w:t>
      </w:r>
      <w:r w:rsidR="003A1048">
        <w:rPr>
          <w:rStyle w:val="Refdenotaderodap"/>
          <w:rFonts w:ascii="Arial" w:hAnsi="Arial"/>
          <w:sz w:val="20"/>
          <w:szCs w:val="20"/>
          <w:lang w:val="en-US"/>
        </w:rPr>
        <w:footnoteReference w:id="3"/>
      </w:r>
      <w:r w:rsidR="0033112B">
        <w:rPr>
          <w:rFonts w:ascii="Arial" w:hAnsi="Arial"/>
          <w:sz w:val="16"/>
          <w:szCs w:val="16"/>
          <w:lang w:val="en-US"/>
        </w:rPr>
        <w:t xml:space="preserve"> </w:t>
      </w:r>
      <w:r w:rsidR="003A1048" w:rsidRPr="00BC7994">
        <w:rPr>
          <w:rStyle w:val="Refdenotaderodap"/>
          <w:rFonts w:ascii="Arial" w:hAnsi="Arial"/>
          <w:sz w:val="20"/>
          <w:szCs w:val="20"/>
          <w:lang w:val="en-US"/>
        </w:rPr>
        <w:footnoteReference w:id="4"/>
      </w:r>
      <w:r w:rsidR="00BC7994" w:rsidRPr="006E7EFE">
        <w:rPr>
          <w:rStyle w:val="Refdenotaderodap"/>
          <w:sz w:val="20"/>
          <w:szCs w:val="20"/>
          <w:lang w:val="en-US"/>
        </w:rPr>
        <w:t xml:space="preserve"> </w:t>
      </w:r>
      <w:r w:rsidR="00902F1C" w:rsidRPr="00BD26CD">
        <w:rPr>
          <w:rFonts w:ascii="Arial" w:hAnsi="Arial"/>
          <w:sz w:val="20"/>
          <w:szCs w:val="20"/>
          <w:lang w:val="en-US"/>
        </w:rPr>
        <w:t>];</w:t>
      </w:r>
    </w:p>
    <w:p w:rsidR="00902F1C" w:rsidRDefault="00BD26CD" w:rsidP="00224EF0">
      <w:pPr>
        <w:autoSpaceDE w:val="0"/>
        <w:autoSpaceDN w:val="0"/>
        <w:adjustRightInd w:val="0"/>
        <w:spacing w:after="0" w:line="360" w:lineRule="auto"/>
        <w:ind w:left="709" w:hanging="283"/>
        <w:jc w:val="both"/>
        <w:rPr>
          <w:rFonts w:ascii="Arial" w:hAnsi="Arial"/>
          <w:sz w:val="20"/>
          <w:szCs w:val="20"/>
          <w:lang w:val="en-US"/>
        </w:rPr>
      </w:pPr>
      <w:r>
        <w:rPr>
          <w:rFonts w:ascii="Arial" w:hAnsi="Arial"/>
          <w:sz w:val="20"/>
          <w:szCs w:val="20"/>
          <w:lang w:val="en-US"/>
        </w:rPr>
        <w:t xml:space="preserve">p) </w:t>
      </w:r>
      <w:r w:rsidR="00902F1C" w:rsidRPr="00BD26CD">
        <w:rPr>
          <w:rFonts w:ascii="Arial" w:hAnsi="Arial"/>
          <w:sz w:val="20"/>
          <w:szCs w:val="20"/>
          <w:lang w:val="en-US"/>
        </w:rPr>
        <w:t>The information contained in this application is true.</w:t>
      </w:r>
    </w:p>
    <w:p w:rsidR="00BD26CD" w:rsidRPr="00BD26CD" w:rsidRDefault="00BD26CD" w:rsidP="00BD26CD">
      <w:pPr>
        <w:autoSpaceDE w:val="0"/>
        <w:autoSpaceDN w:val="0"/>
        <w:adjustRightInd w:val="0"/>
        <w:spacing w:after="0" w:line="360" w:lineRule="auto"/>
        <w:jc w:val="both"/>
        <w:rPr>
          <w:rFonts w:ascii="Arial" w:hAnsi="Arial"/>
          <w:sz w:val="20"/>
          <w:szCs w:val="20"/>
          <w:lang w:val="en-US"/>
        </w:rPr>
      </w:pPr>
    </w:p>
    <w:p w:rsidR="00175BA4" w:rsidRPr="00175BA4" w:rsidRDefault="00175BA4" w:rsidP="00175BA4">
      <w:pPr>
        <w:autoSpaceDE w:val="0"/>
        <w:autoSpaceDN w:val="0"/>
        <w:adjustRightInd w:val="0"/>
        <w:spacing w:after="0" w:line="360" w:lineRule="auto"/>
        <w:jc w:val="both"/>
        <w:rPr>
          <w:rFonts w:ascii="Arial" w:hAnsi="Arial"/>
          <w:sz w:val="20"/>
          <w:szCs w:val="20"/>
          <w:lang w:val="en-US"/>
        </w:rPr>
      </w:pPr>
    </w:p>
    <w:p w:rsidR="00DA75D8" w:rsidRPr="00BD26CD" w:rsidRDefault="00BD26CD" w:rsidP="00BD26CD">
      <w:pPr>
        <w:spacing w:after="0" w:line="360" w:lineRule="auto"/>
        <w:rPr>
          <w:rFonts w:ascii="Arial" w:hAnsi="Arial" w:cs="Arial"/>
          <w:sz w:val="20"/>
          <w:szCs w:val="20"/>
          <w:lang w:val="en-US"/>
        </w:rPr>
      </w:pPr>
      <w:r w:rsidRPr="00BD26CD">
        <w:rPr>
          <w:rFonts w:ascii="Arial" w:hAnsi="Arial" w:cs="Arial"/>
          <w:sz w:val="20"/>
          <w:szCs w:val="20"/>
          <w:lang w:val="en-US"/>
        </w:rPr>
        <w:t xml:space="preserve"> [</w:t>
      </w:r>
      <w:r w:rsidR="00224EF0">
        <w:rPr>
          <w:rFonts w:ascii="Arial" w:hAnsi="Arial" w:cs="Arial"/>
          <w:sz w:val="20"/>
          <w:szCs w:val="20"/>
          <w:highlight w:val="yellow"/>
          <w:lang w:val="en-US"/>
        </w:rPr>
        <w:t>P</w:t>
      </w:r>
      <w:r w:rsidRPr="00BD26CD">
        <w:rPr>
          <w:rFonts w:ascii="Arial" w:hAnsi="Arial" w:cs="Arial"/>
          <w:sz w:val="20"/>
          <w:szCs w:val="20"/>
          <w:highlight w:val="yellow"/>
          <w:lang w:val="en-US"/>
        </w:rPr>
        <w:t>lace</w:t>
      </w:r>
      <w:r w:rsidRPr="00BD26CD">
        <w:rPr>
          <w:rFonts w:ascii="Arial" w:hAnsi="Arial" w:cs="Arial"/>
          <w:sz w:val="20"/>
          <w:szCs w:val="20"/>
          <w:lang w:val="en-US"/>
        </w:rPr>
        <w:t>]</w:t>
      </w:r>
      <w:r w:rsidR="00DA75D8" w:rsidRPr="00BD26CD">
        <w:rPr>
          <w:rFonts w:ascii="Arial" w:hAnsi="Arial" w:cs="Arial"/>
          <w:sz w:val="20"/>
          <w:szCs w:val="20"/>
          <w:lang w:val="en-US"/>
        </w:rPr>
        <w:t xml:space="preserve">, </w:t>
      </w:r>
      <w:r>
        <w:rPr>
          <w:rFonts w:ascii="Arial" w:hAnsi="Arial" w:cs="Arial"/>
          <w:sz w:val="20"/>
          <w:szCs w:val="20"/>
          <w:lang w:val="en-US"/>
        </w:rPr>
        <w:t>[</w:t>
      </w:r>
      <w:r w:rsidRPr="00BD26CD">
        <w:rPr>
          <w:rFonts w:ascii="Arial" w:hAnsi="Arial" w:cs="Arial"/>
          <w:sz w:val="20"/>
          <w:szCs w:val="20"/>
          <w:highlight w:val="yellow"/>
          <w:lang w:val="en-US"/>
        </w:rPr>
        <w:t>day</w:t>
      </w:r>
      <w:r>
        <w:rPr>
          <w:rFonts w:ascii="Arial" w:hAnsi="Arial" w:cs="Arial"/>
          <w:sz w:val="20"/>
          <w:szCs w:val="20"/>
          <w:lang w:val="en-US"/>
        </w:rPr>
        <w:t>] [</w:t>
      </w:r>
      <w:r w:rsidR="00DA75D8" w:rsidRPr="00BD26CD">
        <w:rPr>
          <w:rFonts w:ascii="Arial" w:hAnsi="Arial" w:cs="Arial"/>
          <w:sz w:val="20"/>
          <w:szCs w:val="20"/>
          <w:highlight w:val="yellow"/>
          <w:lang w:val="en-US"/>
        </w:rPr>
        <w:t>month</w:t>
      </w:r>
      <w:r>
        <w:rPr>
          <w:rFonts w:ascii="Arial" w:hAnsi="Arial" w:cs="Arial"/>
          <w:sz w:val="20"/>
          <w:szCs w:val="20"/>
          <w:lang w:val="en-US"/>
        </w:rPr>
        <w:t>]</w:t>
      </w:r>
      <w:r w:rsidR="00DA75D8" w:rsidRPr="00BD26CD">
        <w:rPr>
          <w:rFonts w:ascii="Arial" w:hAnsi="Arial" w:cs="Arial"/>
          <w:sz w:val="20"/>
          <w:szCs w:val="20"/>
          <w:lang w:val="en-US"/>
        </w:rPr>
        <w:t xml:space="preserve"> </w:t>
      </w:r>
      <w:r>
        <w:rPr>
          <w:rFonts w:ascii="Arial" w:hAnsi="Arial" w:cs="Arial"/>
          <w:sz w:val="20"/>
          <w:szCs w:val="20"/>
          <w:lang w:val="en-US"/>
        </w:rPr>
        <w:t>[</w:t>
      </w:r>
      <w:r w:rsidR="00DA75D8" w:rsidRPr="00BD26CD">
        <w:rPr>
          <w:rFonts w:ascii="Arial" w:hAnsi="Arial" w:cs="Arial"/>
          <w:sz w:val="20"/>
          <w:szCs w:val="20"/>
          <w:highlight w:val="yellow"/>
          <w:lang w:val="en-US"/>
        </w:rPr>
        <w:t>year</w:t>
      </w:r>
      <w:r>
        <w:rPr>
          <w:rFonts w:ascii="Arial" w:hAnsi="Arial" w:cs="Arial"/>
          <w:sz w:val="20"/>
          <w:szCs w:val="20"/>
          <w:lang w:val="en-US"/>
        </w:rPr>
        <w:t>]</w:t>
      </w:r>
    </w:p>
    <w:p w:rsidR="00DA75D8" w:rsidRDefault="00DA75D8" w:rsidP="00BD26CD">
      <w:pPr>
        <w:spacing w:after="0" w:line="360" w:lineRule="auto"/>
        <w:rPr>
          <w:rFonts w:ascii="Arial" w:hAnsi="Arial" w:cs="Arial"/>
          <w:sz w:val="20"/>
          <w:szCs w:val="20"/>
          <w:lang w:val="en-US"/>
        </w:rPr>
      </w:pPr>
    </w:p>
    <w:p w:rsidR="00BD26CD" w:rsidRDefault="00BD26CD" w:rsidP="00BD26CD">
      <w:pPr>
        <w:spacing w:after="0" w:line="360" w:lineRule="auto"/>
        <w:rPr>
          <w:rFonts w:ascii="Arial" w:hAnsi="Arial" w:cs="Arial"/>
          <w:sz w:val="20"/>
          <w:szCs w:val="20"/>
          <w:lang w:val="en-US"/>
        </w:rPr>
      </w:pPr>
      <w:r>
        <w:rPr>
          <w:rFonts w:ascii="Arial" w:hAnsi="Arial" w:cs="Arial"/>
          <w:sz w:val="20"/>
          <w:szCs w:val="20"/>
          <w:lang w:val="en-US"/>
        </w:rPr>
        <w:t>[</w:t>
      </w:r>
      <w:r w:rsidRPr="00BD26CD">
        <w:rPr>
          <w:rFonts w:ascii="Arial" w:hAnsi="Arial" w:cs="Arial"/>
          <w:sz w:val="20"/>
          <w:szCs w:val="20"/>
          <w:highlight w:val="yellow"/>
          <w:lang w:val="en-US"/>
        </w:rPr>
        <w:t>Name of legal representative</w:t>
      </w:r>
      <w:r>
        <w:rPr>
          <w:rFonts w:ascii="Arial" w:hAnsi="Arial" w:cs="Arial"/>
          <w:sz w:val="20"/>
          <w:szCs w:val="20"/>
          <w:lang w:val="en-US"/>
        </w:rPr>
        <w:t>]</w:t>
      </w:r>
    </w:p>
    <w:p w:rsidR="00BD26CD" w:rsidRPr="00BD26CD" w:rsidRDefault="00BD26CD" w:rsidP="00BD26CD">
      <w:pPr>
        <w:spacing w:after="0" w:line="360" w:lineRule="auto"/>
        <w:rPr>
          <w:rFonts w:ascii="Arial" w:hAnsi="Arial" w:cs="Arial"/>
          <w:sz w:val="20"/>
          <w:szCs w:val="20"/>
          <w:lang w:val="en-US"/>
        </w:rPr>
      </w:pPr>
    </w:p>
    <w:p w:rsidR="00C2288E" w:rsidRPr="00BD26CD" w:rsidRDefault="00C2288E" w:rsidP="00BD26CD">
      <w:pPr>
        <w:spacing w:after="0" w:line="360" w:lineRule="auto"/>
        <w:rPr>
          <w:rFonts w:ascii="Arial" w:hAnsi="Arial" w:cs="Arial"/>
          <w:sz w:val="20"/>
          <w:szCs w:val="20"/>
          <w:lang w:val="en-US"/>
        </w:rPr>
      </w:pPr>
    </w:p>
    <w:p w:rsidR="00DA75D8" w:rsidRPr="00BD26CD" w:rsidRDefault="00BD26CD" w:rsidP="00BD26CD">
      <w:pPr>
        <w:spacing w:after="0" w:line="360" w:lineRule="auto"/>
        <w:rPr>
          <w:rFonts w:ascii="Arial" w:hAnsi="Arial" w:cs="Arial"/>
          <w:sz w:val="20"/>
          <w:szCs w:val="20"/>
          <w:lang w:val="en-US"/>
        </w:rPr>
      </w:pPr>
      <w:r>
        <w:rPr>
          <w:rFonts w:ascii="Arial" w:hAnsi="Arial" w:cs="Arial"/>
          <w:sz w:val="20"/>
          <w:szCs w:val="20"/>
          <w:lang w:val="en-US"/>
        </w:rPr>
        <w:t>[</w:t>
      </w:r>
      <w:r w:rsidR="00DA75D8" w:rsidRPr="00BD26CD">
        <w:rPr>
          <w:rFonts w:ascii="Arial" w:hAnsi="Arial" w:cs="Arial"/>
          <w:sz w:val="20"/>
          <w:szCs w:val="20"/>
          <w:highlight w:val="yellow"/>
          <w:lang w:val="en-US"/>
        </w:rPr>
        <w:t>Signature according to the ID card of the legal representative</w:t>
      </w:r>
      <w:r>
        <w:rPr>
          <w:rFonts w:ascii="Arial" w:hAnsi="Arial" w:cs="Arial"/>
          <w:sz w:val="20"/>
          <w:szCs w:val="20"/>
          <w:lang w:val="en-US"/>
        </w:rPr>
        <w:t>]</w:t>
      </w:r>
    </w:p>
    <w:p w:rsidR="00DA75D8" w:rsidRPr="008A2CD0" w:rsidRDefault="00DA75D8" w:rsidP="00DA75D8">
      <w:pPr>
        <w:spacing w:after="0" w:line="240" w:lineRule="auto"/>
        <w:jc w:val="both"/>
        <w:rPr>
          <w:rFonts w:ascii="Arial" w:hAnsi="Arial" w:cs="Arial"/>
          <w:sz w:val="24"/>
          <w:szCs w:val="24"/>
          <w:lang w:val="en-US"/>
        </w:rPr>
      </w:pPr>
    </w:p>
    <w:p w:rsidR="00DA75D8" w:rsidRDefault="00DA75D8" w:rsidP="00DA75D8">
      <w:pPr>
        <w:spacing w:after="0" w:line="240" w:lineRule="auto"/>
        <w:jc w:val="both"/>
        <w:rPr>
          <w:rFonts w:ascii="Arial" w:hAnsi="Arial" w:cs="Arial"/>
          <w:sz w:val="24"/>
          <w:szCs w:val="24"/>
          <w:lang w:val="en-US"/>
        </w:rPr>
      </w:pPr>
    </w:p>
    <w:p w:rsidR="00DA75D8" w:rsidRDefault="00DA75D8" w:rsidP="00DA75D8">
      <w:pPr>
        <w:spacing w:after="0" w:line="240" w:lineRule="auto"/>
        <w:jc w:val="both"/>
        <w:rPr>
          <w:rFonts w:ascii="Arial" w:hAnsi="Arial" w:cs="Arial"/>
          <w:sz w:val="24"/>
          <w:szCs w:val="24"/>
          <w:lang w:val="en-US"/>
        </w:rPr>
      </w:pPr>
    </w:p>
    <w:p w:rsidR="00C2288E" w:rsidRDefault="00C2288E" w:rsidP="00DA75D8">
      <w:pPr>
        <w:spacing w:after="0" w:line="240" w:lineRule="auto"/>
        <w:jc w:val="both"/>
        <w:rPr>
          <w:rFonts w:ascii="Arial" w:hAnsi="Arial" w:cs="Arial"/>
          <w:sz w:val="24"/>
          <w:szCs w:val="24"/>
          <w:lang w:val="en-US"/>
        </w:rPr>
      </w:pPr>
    </w:p>
    <w:p w:rsidR="00C2288E" w:rsidRPr="008A2CD0" w:rsidRDefault="00C2288E" w:rsidP="00DA75D8">
      <w:pPr>
        <w:spacing w:after="0" w:line="240" w:lineRule="auto"/>
        <w:jc w:val="both"/>
        <w:rPr>
          <w:rFonts w:ascii="Arial" w:hAnsi="Arial" w:cs="Arial"/>
          <w:sz w:val="24"/>
          <w:szCs w:val="24"/>
          <w:lang w:val="en-US"/>
        </w:rPr>
      </w:pPr>
    </w:p>
    <w:p w:rsidR="00DA75D8" w:rsidRPr="00DA75D8" w:rsidRDefault="00DA75D8" w:rsidP="00273EF3">
      <w:pPr>
        <w:spacing w:after="0" w:line="336" w:lineRule="atLeast"/>
        <w:jc w:val="right"/>
        <w:rPr>
          <w:rFonts w:ascii="Arial" w:eastAsia="Times New Roman" w:hAnsi="Arial" w:cs="Arial"/>
          <w:color w:val="333333"/>
          <w:lang w:val="en-US" w:eastAsia="pt-PT"/>
        </w:rPr>
      </w:pPr>
    </w:p>
    <w:sectPr w:rsidR="00DA75D8" w:rsidRPr="00DA75D8" w:rsidSect="006E6D66">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3B2" w:rsidRDefault="000853B2" w:rsidP="0070152D">
      <w:pPr>
        <w:spacing w:after="0" w:line="240" w:lineRule="auto"/>
      </w:pPr>
      <w:r>
        <w:separator/>
      </w:r>
    </w:p>
  </w:endnote>
  <w:endnote w:type="continuationSeparator" w:id="0">
    <w:p w:rsidR="000853B2" w:rsidRDefault="000853B2" w:rsidP="00701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3B2" w:rsidRDefault="000853B2" w:rsidP="0070152D">
      <w:pPr>
        <w:spacing w:after="0" w:line="240" w:lineRule="auto"/>
      </w:pPr>
      <w:r>
        <w:separator/>
      </w:r>
    </w:p>
  </w:footnote>
  <w:footnote w:type="continuationSeparator" w:id="0">
    <w:p w:rsidR="000853B2" w:rsidRDefault="000853B2" w:rsidP="0070152D">
      <w:pPr>
        <w:spacing w:after="0" w:line="240" w:lineRule="auto"/>
      </w:pPr>
      <w:r>
        <w:continuationSeparator/>
      </w:r>
    </w:p>
  </w:footnote>
  <w:footnote w:id="1">
    <w:p w:rsidR="003A1048" w:rsidRPr="00E97C34" w:rsidRDefault="003A1048" w:rsidP="008964EF">
      <w:pPr>
        <w:autoSpaceDE w:val="0"/>
        <w:autoSpaceDN w:val="0"/>
        <w:adjustRightInd w:val="0"/>
        <w:spacing w:after="0" w:line="240" w:lineRule="auto"/>
        <w:jc w:val="both"/>
        <w:rPr>
          <w:lang w:val="en-US"/>
        </w:rPr>
      </w:pPr>
      <w:r>
        <w:rPr>
          <w:rStyle w:val="Refdenotaderodap"/>
        </w:rPr>
        <w:footnoteRef/>
      </w:r>
      <w:r w:rsidRPr="00E97C34">
        <w:rPr>
          <w:lang w:val="en-US"/>
        </w:rPr>
        <w:t xml:space="preserve"> </w:t>
      </w:r>
      <w:r w:rsidRPr="00E97C34">
        <w:rPr>
          <w:rFonts w:cs="Arial"/>
          <w:sz w:val="20"/>
          <w:szCs w:val="20"/>
          <w:lang w:val="en-US"/>
        </w:rPr>
        <w:t>Only legal entities are eligible with the sole exception for partners from Liechtenstein which can be natural persons (in this case, please delete the expression «has the legal representative of»).</w:t>
      </w:r>
    </w:p>
  </w:footnote>
  <w:footnote w:id="2">
    <w:p w:rsidR="003A1048" w:rsidRPr="008964EF" w:rsidRDefault="003A1048" w:rsidP="008964EF">
      <w:pPr>
        <w:autoSpaceDE w:val="0"/>
        <w:autoSpaceDN w:val="0"/>
        <w:adjustRightInd w:val="0"/>
        <w:spacing w:after="0" w:line="240" w:lineRule="auto"/>
        <w:jc w:val="both"/>
        <w:rPr>
          <w:rFonts w:cs="Arial"/>
          <w:sz w:val="20"/>
          <w:szCs w:val="20"/>
          <w:lang w:val="en-US"/>
        </w:rPr>
      </w:pPr>
      <w:r>
        <w:rPr>
          <w:rStyle w:val="Refdenotaderodap"/>
        </w:rPr>
        <w:footnoteRef/>
      </w:r>
      <w:r w:rsidRPr="008964EF">
        <w:rPr>
          <w:lang w:val="en-US"/>
        </w:rPr>
        <w:t xml:space="preserve"> </w:t>
      </w:r>
      <w:r w:rsidRPr="008964EF">
        <w:rPr>
          <w:rFonts w:cs="Arial"/>
          <w:sz w:val="20"/>
          <w:szCs w:val="20"/>
          <w:lang w:val="en-US"/>
        </w:rPr>
        <w:t>See note (1) and please delete the expression «its represented».</w:t>
      </w:r>
    </w:p>
    <w:p w:rsidR="003A1048" w:rsidRPr="008964EF" w:rsidRDefault="003A1048">
      <w:pPr>
        <w:pStyle w:val="Textodenotaderodap"/>
        <w:rPr>
          <w:lang w:val="en-US"/>
        </w:rPr>
      </w:pPr>
    </w:p>
  </w:footnote>
  <w:footnote w:id="3">
    <w:p w:rsidR="003A1048" w:rsidRPr="003A1048" w:rsidRDefault="003A1048" w:rsidP="003A1048">
      <w:pPr>
        <w:autoSpaceDE w:val="0"/>
        <w:autoSpaceDN w:val="0"/>
        <w:adjustRightInd w:val="0"/>
        <w:spacing w:after="0" w:line="240" w:lineRule="auto"/>
        <w:jc w:val="both"/>
        <w:rPr>
          <w:lang w:val="en-US"/>
        </w:rPr>
      </w:pPr>
      <w:r>
        <w:rPr>
          <w:rStyle w:val="Refdenotaderodap"/>
        </w:rPr>
        <w:footnoteRef/>
      </w:r>
      <w:r w:rsidRPr="003A1048">
        <w:rPr>
          <w:lang w:val="en-US"/>
        </w:rPr>
        <w:t xml:space="preserve"> </w:t>
      </w:r>
      <w:r w:rsidRPr="003A1048">
        <w:rPr>
          <w:rFonts w:cs="Arial"/>
          <w:sz w:val="20"/>
          <w:szCs w:val="20"/>
          <w:lang w:val="en-US"/>
        </w:rPr>
        <w:t>If in the Partnership Declaration the donor state partner does not assume the cofinancing responsibility for its part of the budget and project than this point should be left in blank.</w:t>
      </w:r>
    </w:p>
  </w:footnote>
  <w:footnote w:id="4">
    <w:p w:rsidR="003A1048" w:rsidRPr="003A1048" w:rsidRDefault="003A1048" w:rsidP="004B22E1">
      <w:pPr>
        <w:autoSpaceDE w:val="0"/>
        <w:autoSpaceDN w:val="0"/>
        <w:adjustRightInd w:val="0"/>
        <w:spacing w:after="0" w:line="240" w:lineRule="auto"/>
        <w:jc w:val="both"/>
        <w:rPr>
          <w:lang w:val="en-US"/>
        </w:rPr>
      </w:pPr>
      <w:r>
        <w:rPr>
          <w:rStyle w:val="Refdenotaderodap"/>
        </w:rPr>
        <w:footnoteRef/>
      </w:r>
      <w:r w:rsidRPr="003A1048">
        <w:rPr>
          <w:lang w:val="en-US"/>
        </w:rPr>
        <w:t xml:space="preserve"> </w:t>
      </w:r>
      <w:r w:rsidRPr="003A1048">
        <w:rPr>
          <w:rFonts w:cs="Arial"/>
          <w:sz w:val="20"/>
          <w:szCs w:val="20"/>
          <w:lang w:val="en-US"/>
        </w:rPr>
        <w:t>If in the Partnership Agreement Declaration the partner has assumed the responsibility for its part of the cofinancing of the budget and project than the partner is required to describe whether the resources are their own or from other entities</w:t>
      </w:r>
      <w:r w:rsidR="00BC7994">
        <w:rPr>
          <w:rFonts w:cs="Arial"/>
          <w:sz w:val="20"/>
          <w:szCs w:val="20"/>
          <w:lang w:val="en-US"/>
        </w:rPr>
        <w:t>. I</w:t>
      </w:r>
      <w:r w:rsidRPr="003A1048">
        <w:rPr>
          <w:rFonts w:cs="Arial"/>
          <w:sz w:val="20"/>
          <w:szCs w:val="20"/>
          <w:lang w:val="en-US"/>
        </w:rPr>
        <w:t xml:space="preserve">f these </w:t>
      </w:r>
      <w:r w:rsidR="00BC7994">
        <w:rPr>
          <w:rFonts w:cs="Arial"/>
          <w:sz w:val="20"/>
          <w:szCs w:val="20"/>
          <w:lang w:val="en-US"/>
        </w:rPr>
        <w:t xml:space="preserve">resources </w:t>
      </w:r>
      <w:r w:rsidRPr="003A1048">
        <w:rPr>
          <w:rFonts w:cs="Arial"/>
          <w:sz w:val="20"/>
          <w:szCs w:val="20"/>
          <w:lang w:val="en-US"/>
        </w:rPr>
        <w:t xml:space="preserve">are already available </w:t>
      </w:r>
      <w:r w:rsidR="00BC7994">
        <w:rPr>
          <w:rFonts w:cs="Arial"/>
          <w:sz w:val="20"/>
          <w:szCs w:val="20"/>
          <w:lang w:val="en-US"/>
        </w:rPr>
        <w:t>please</w:t>
      </w:r>
      <w:r w:rsidRPr="003A1048">
        <w:rPr>
          <w:rFonts w:cs="Arial"/>
          <w:sz w:val="20"/>
          <w:szCs w:val="20"/>
          <w:lang w:val="en-US"/>
        </w:rPr>
        <w:t xml:space="preserve"> provide identification of the entities and respective amounts (e.g donations, sponsorship, </w:t>
      </w:r>
      <w:proofErr w:type="gramStart"/>
      <w:r w:rsidRPr="003A1048">
        <w:rPr>
          <w:rFonts w:cs="Arial"/>
          <w:sz w:val="20"/>
          <w:szCs w:val="20"/>
          <w:lang w:val="en-US"/>
        </w:rPr>
        <w:t>patronage</w:t>
      </w:r>
      <w:proofErr w:type="gramEnd"/>
      <w:r w:rsidRPr="003A1048">
        <w:rPr>
          <w:rFonts w:cs="Arial"/>
          <w:sz w:val="20"/>
          <w:szCs w:val="20"/>
          <w:lang w:val="en-US"/>
        </w:rPr>
        <w:t xml:space="preserve">) </w:t>
      </w:r>
      <w:r w:rsidR="00BC7994">
        <w:rPr>
          <w:rFonts w:cs="Arial"/>
          <w:sz w:val="20"/>
          <w:szCs w:val="20"/>
          <w:lang w:val="en-US"/>
        </w:rPr>
        <w:t>t</w:t>
      </w:r>
      <w:r w:rsidRPr="003A1048">
        <w:rPr>
          <w:rFonts w:cs="Arial"/>
          <w:sz w:val="20"/>
          <w:szCs w:val="20"/>
          <w:lang w:val="en-US"/>
        </w:rPr>
        <w:t>o be documented in the application by declarations from those entities (e.g. Donatio</w:t>
      </w:r>
      <w:r w:rsidR="00BC7994">
        <w:rPr>
          <w:rFonts w:cs="Arial"/>
          <w:sz w:val="20"/>
          <w:szCs w:val="20"/>
          <w:lang w:val="en-US"/>
        </w:rPr>
        <w:t>n</w:t>
      </w:r>
      <w:r w:rsidR="006E7EFE">
        <w:rPr>
          <w:rFonts w:cs="Arial"/>
          <w:sz w:val="20"/>
          <w:szCs w:val="20"/>
          <w:lang w:val="en-US"/>
        </w:rPr>
        <w:t xml:space="preserve"> </w:t>
      </w:r>
      <w:r w:rsidRPr="003A1048">
        <w:rPr>
          <w:rFonts w:cs="Arial"/>
          <w:sz w:val="20"/>
          <w:szCs w:val="20"/>
          <w:lang w:val="en-US"/>
        </w:rPr>
        <w:t>/</w:t>
      </w:r>
      <w:r w:rsidR="006E7EFE">
        <w:rPr>
          <w:rFonts w:cs="Arial"/>
          <w:sz w:val="20"/>
          <w:szCs w:val="20"/>
          <w:lang w:val="en-US"/>
        </w:rPr>
        <w:t xml:space="preserve"> </w:t>
      </w:r>
      <w:r w:rsidRPr="003A1048">
        <w:rPr>
          <w:rFonts w:cs="Arial"/>
          <w:sz w:val="20"/>
          <w:szCs w:val="20"/>
          <w:lang w:val="en-US"/>
        </w:rPr>
        <w:t>Sponsorship</w:t>
      </w:r>
      <w:r w:rsidR="006E7EFE">
        <w:rPr>
          <w:rFonts w:cs="Arial"/>
          <w:sz w:val="20"/>
          <w:szCs w:val="20"/>
          <w:lang w:val="en-US"/>
        </w:rPr>
        <w:t xml:space="preserve"> </w:t>
      </w:r>
      <w:r w:rsidRPr="003A1048">
        <w:rPr>
          <w:rFonts w:cs="Arial"/>
          <w:sz w:val="20"/>
          <w:szCs w:val="20"/>
          <w:lang w:val="en-US"/>
        </w:rPr>
        <w:t>/</w:t>
      </w:r>
      <w:r w:rsidR="006E7EFE">
        <w:rPr>
          <w:rFonts w:cs="Arial"/>
          <w:sz w:val="20"/>
          <w:szCs w:val="20"/>
          <w:lang w:val="en-US"/>
        </w:rPr>
        <w:t xml:space="preserve"> </w:t>
      </w:r>
      <w:r w:rsidRPr="003A1048">
        <w:rPr>
          <w:rFonts w:cs="Arial"/>
          <w:sz w:val="20"/>
          <w:szCs w:val="20"/>
          <w:lang w:val="en-US"/>
        </w:rPr>
        <w:t>Patronage Financing Declara</w:t>
      </w:r>
      <w:r w:rsidR="00BC7994">
        <w:rPr>
          <w:rFonts w:cs="Arial"/>
          <w:sz w:val="20"/>
          <w:szCs w:val="20"/>
          <w:lang w:val="en-US"/>
        </w:rPr>
        <w:t>tion, Bank Loaning Declaration).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048" w:rsidRDefault="003A1048">
    <w:pPr>
      <w:pStyle w:val="Cabealho"/>
    </w:pPr>
    <w:r>
      <w:rPr>
        <w:noProof/>
        <w:lang w:eastAsia="pt-PT"/>
      </w:rPr>
      <w:drawing>
        <wp:anchor distT="0" distB="0" distL="114300" distR="114300" simplePos="0" relativeHeight="251659264" behindDoc="1" locked="0" layoutInCell="1" allowOverlap="1">
          <wp:simplePos x="0" y="0"/>
          <wp:positionH relativeFrom="column">
            <wp:posOffset>-501650</wp:posOffset>
          </wp:positionH>
          <wp:positionV relativeFrom="paragraph">
            <wp:posOffset>-53975</wp:posOffset>
          </wp:positionV>
          <wp:extent cx="1065530" cy="801370"/>
          <wp:effectExtent l="19050" t="0" r="1270" b="0"/>
          <wp:wrapTight wrapText="bothSides">
            <wp:wrapPolygon edited="0">
              <wp:start x="16992" y="0"/>
              <wp:lineTo x="1159" y="4621"/>
              <wp:lineTo x="-386" y="5648"/>
              <wp:lineTo x="-386" y="20539"/>
              <wp:lineTo x="1159" y="21052"/>
              <wp:lineTo x="9654" y="21052"/>
              <wp:lineTo x="14675" y="21052"/>
              <wp:lineTo x="21626" y="21052"/>
              <wp:lineTo x="21626" y="12837"/>
              <wp:lineTo x="18923" y="8216"/>
              <wp:lineTo x="21626" y="7189"/>
              <wp:lineTo x="21626" y="5135"/>
              <wp:lineTo x="20467" y="0"/>
              <wp:lineTo x="16992" y="0"/>
            </wp:wrapPolygon>
          </wp:wrapTight>
          <wp:docPr id="1" name="Imagem 0" descr="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grants.png"/>
                  <pic:cNvPicPr/>
                </pic:nvPicPr>
                <pic:blipFill>
                  <a:blip r:embed="rId1"/>
                  <a:stretch>
                    <a:fillRect/>
                  </a:stretch>
                </pic:blipFill>
                <pic:spPr>
                  <a:xfrm>
                    <a:off x="0" y="0"/>
                    <a:ext cx="1065530" cy="801370"/>
                  </a:xfrm>
                  <a:prstGeom prst="rect">
                    <a:avLst/>
                  </a:prstGeom>
                </pic:spPr>
              </pic:pic>
            </a:graphicData>
          </a:graphic>
        </wp:anchor>
      </w:drawing>
    </w:r>
  </w:p>
  <w:p w:rsidR="003A1048" w:rsidRDefault="003A1048">
    <w:pPr>
      <w:pStyle w:val="Cabealho"/>
    </w:pPr>
  </w:p>
  <w:p w:rsidR="003A1048" w:rsidRDefault="003A1048">
    <w:pPr>
      <w:pStyle w:val="Cabealho"/>
    </w:pPr>
  </w:p>
  <w:p w:rsidR="003A1048" w:rsidRDefault="003A1048">
    <w:pPr>
      <w:pStyle w:val="Cabealho"/>
    </w:pPr>
  </w:p>
  <w:p w:rsidR="003A1048" w:rsidRDefault="003A104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FAD"/>
    <w:multiLevelType w:val="multilevel"/>
    <w:tmpl w:val="15548F1A"/>
    <w:lvl w:ilvl="0">
      <w:start w:val="1"/>
      <w:numFmt w:val="lowerLetter"/>
      <w:lvlText w:val="%1)"/>
      <w:lvlJc w:val="left"/>
      <w:pPr>
        <w:ind w:left="509" w:hanging="360"/>
      </w:pPr>
    </w:lvl>
    <w:lvl w:ilvl="1">
      <w:start w:val="1"/>
      <w:numFmt w:val="lowerLetter"/>
      <w:lvlText w:val="%2."/>
      <w:lvlJc w:val="left"/>
      <w:pPr>
        <w:ind w:left="1229" w:hanging="360"/>
      </w:pPr>
    </w:lvl>
    <w:lvl w:ilvl="2">
      <w:start w:val="1"/>
      <w:numFmt w:val="lowerRoman"/>
      <w:lvlText w:val="%3."/>
      <w:lvlJc w:val="right"/>
      <w:pPr>
        <w:ind w:left="1949" w:hanging="180"/>
      </w:pPr>
    </w:lvl>
    <w:lvl w:ilvl="3">
      <w:start w:val="1"/>
      <w:numFmt w:val="decimal"/>
      <w:lvlText w:val="%4."/>
      <w:lvlJc w:val="left"/>
      <w:pPr>
        <w:ind w:left="2669" w:hanging="360"/>
      </w:pPr>
    </w:lvl>
    <w:lvl w:ilvl="4">
      <w:start w:val="1"/>
      <w:numFmt w:val="lowerLetter"/>
      <w:lvlText w:val="%5."/>
      <w:lvlJc w:val="left"/>
      <w:pPr>
        <w:ind w:left="3389" w:hanging="360"/>
      </w:pPr>
    </w:lvl>
    <w:lvl w:ilvl="5">
      <w:start w:val="1"/>
      <w:numFmt w:val="lowerRoman"/>
      <w:lvlText w:val="%6."/>
      <w:lvlJc w:val="right"/>
      <w:pPr>
        <w:ind w:left="4109" w:hanging="180"/>
      </w:pPr>
    </w:lvl>
    <w:lvl w:ilvl="6">
      <w:start w:val="1"/>
      <w:numFmt w:val="decimal"/>
      <w:lvlText w:val="%7."/>
      <w:lvlJc w:val="left"/>
      <w:pPr>
        <w:ind w:left="4829" w:hanging="360"/>
      </w:pPr>
    </w:lvl>
    <w:lvl w:ilvl="7">
      <w:start w:val="1"/>
      <w:numFmt w:val="lowerLetter"/>
      <w:lvlText w:val="%8."/>
      <w:lvlJc w:val="left"/>
      <w:pPr>
        <w:ind w:left="5549" w:hanging="360"/>
      </w:pPr>
    </w:lvl>
    <w:lvl w:ilvl="8">
      <w:start w:val="1"/>
      <w:numFmt w:val="lowerRoman"/>
      <w:lvlText w:val="%9."/>
      <w:lvlJc w:val="right"/>
      <w:pPr>
        <w:ind w:left="6269" w:hanging="180"/>
      </w:pPr>
    </w:lvl>
  </w:abstractNum>
  <w:abstractNum w:abstractNumId="1">
    <w:nsid w:val="0DCB60EA"/>
    <w:multiLevelType w:val="hybridMultilevel"/>
    <w:tmpl w:val="73FE3208"/>
    <w:lvl w:ilvl="0" w:tplc="08160017">
      <w:start w:val="1"/>
      <w:numFmt w:val="low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nsid w:val="0E561EBB"/>
    <w:multiLevelType w:val="hybridMultilevel"/>
    <w:tmpl w:val="28B4E37A"/>
    <w:lvl w:ilvl="0" w:tplc="8DE4074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1140789A"/>
    <w:multiLevelType w:val="hybridMultilevel"/>
    <w:tmpl w:val="7836250A"/>
    <w:lvl w:ilvl="0" w:tplc="08160013">
      <w:start w:val="1"/>
      <w:numFmt w:val="upperRoman"/>
      <w:lvlText w:val="%1."/>
      <w:lvlJc w:val="right"/>
      <w:pPr>
        <w:ind w:left="1428" w:hanging="360"/>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4">
    <w:nsid w:val="488D0BBB"/>
    <w:multiLevelType w:val="hybridMultilevel"/>
    <w:tmpl w:val="28B4E37A"/>
    <w:lvl w:ilvl="0" w:tplc="8DE4074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nsid w:val="4A2832B3"/>
    <w:multiLevelType w:val="hybridMultilevel"/>
    <w:tmpl w:val="2938A266"/>
    <w:lvl w:ilvl="0" w:tplc="0D7EE4A4">
      <w:start w:val="1"/>
      <w:numFmt w:val="lowerRoman"/>
      <w:lvlText w:val="%1."/>
      <w:lvlJc w:val="left"/>
      <w:pPr>
        <w:ind w:left="1428" w:hanging="720"/>
      </w:pPr>
      <w:rPr>
        <w:rFonts w:cs="Arial" w:hint="default"/>
        <w:color w:val="31849B" w:themeColor="accent5" w:themeShade="BF"/>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6">
    <w:nsid w:val="52CD4AA1"/>
    <w:multiLevelType w:val="hybridMultilevel"/>
    <w:tmpl w:val="22129330"/>
    <w:lvl w:ilvl="0" w:tplc="9AB69CDC">
      <w:start w:val="1"/>
      <w:numFmt w:val="lowerRoman"/>
      <w:lvlText w:val="%1."/>
      <w:lvlJc w:val="left"/>
      <w:pPr>
        <w:ind w:left="1080" w:hanging="720"/>
      </w:pPr>
      <w:rPr>
        <w:rFonts w:cs="Arial" w:hint="default"/>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595F6811"/>
    <w:multiLevelType w:val="hybridMultilevel"/>
    <w:tmpl w:val="28B4E37A"/>
    <w:lvl w:ilvl="0" w:tplc="8DE4074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nsid w:val="624C383A"/>
    <w:multiLevelType w:val="hybridMultilevel"/>
    <w:tmpl w:val="28B4E37A"/>
    <w:lvl w:ilvl="0" w:tplc="8DE4074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760F5DE7"/>
    <w:multiLevelType w:val="hybridMultilevel"/>
    <w:tmpl w:val="BC3CD704"/>
    <w:lvl w:ilvl="0" w:tplc="CAC20DD4">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8"/>
  </w:num>
  <w:num w:numId="5">
    <w:abstractNumId w:val="4"/>
  </w:num>
  <w:num w:numId="6">
    <w:abstractNumId w:val="2"/>
  </w:num>
  <w:num w:numId="7">
    <w:abstractNumId w:val="7"/>
  </w:num>
  <w:num w:numId="8">
    <w:abstractNumId w:val="9"/>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50178"/>
  </w:hdrShapeDefaults>
  <w:footnotePr>
    <w:footnote w:id="-1"/>
    <w:footnote w:id="0"/>
  </w:footnotePr>
  <w:endnotePr>
    <w:endnote w:id="-1"/>
    <w:endnote w:id="0"/>
  </w:endnotePr>
  <w:compat/>
  <w:rsids>
    <w:rsidRoot w:val="0070152D"/>
    <w:rsid w:val="00083064"/>
    <w:rsid w:val="000853B2"/>
    <w:rsid w:val="000D1B53"/>
    <w:rsid w:val="001314CB"/>
    <w:rsid w:val="00144C09"/>
    <w:rsid w:val="00175BA4"/>
    <w:rsid w:val="001B7D01"/>
    <w:rsid w:val="00224EF0"/>
    <w:rsid w:val="0023305A"/>
    <w:rsid w:val="00273EF3"/>
    <w:rsid w:val="002C2899"/>
    <w:rsid w:val="002C67C4"/>
    <w:rsid w:val="002E3838"/>
    <w:rsid w:val="0033112B"/>
    <w:rsid w:val="0035677B"/>
    <w:rsid w:val="003A1048"/>
    <w:rsid w:val="003A4178"/>
    <w:rsid w:val="003E1969"/>
    <w:rsid w:val="003F4DEB"/>
    <w:rsid w:val="00427CAE"/>
    <w:rsid w:val="00457049"/>
    <w:rsid w:val="00463C87"/>
    <w:rsid w:val="00467F6D"/>
    <w:rsid w:val="004B22E1"/>
    <w:rsid w:val="004B2490"/>
    <w:rsid w:val="004C7134"/>
    <w:rsid w:val="00504E7F"/>
    <w:rsid w:val="00510FE5"/>
    <w:rsid w:val="00533E2C"/>
    <w:rsid w:val="0053591F"/>
    <w:rsid w:val="00570C8F"/>
    <w:rsid w:val="00572B3A"/>
    <w:rsid w:val="00572FB9"/>
    <w:rsid w:val="005A46C8"/>
    <w:rsid w:val="005B17A5"/>
    <w:rsid w:val="005C41A3"/>
    <w:rsid w:val="005C4FCF"/>
    <w:rsid w:val="00603839"/>
    <w:rsid w:val="00655F31"/>
    <w:rsid w:val="006B312F"/>
    <w:rsid w:val="006B5115"/>
    <w:rsid w:val="006D68E8"/>
    <w:rsid w:val="006E6D66"/>
    <w:rsid w:val="006E7EFE"/>
    <w:rsid w:val="006F3641"/>
    <w:rsid w:val="006F535D"/>
    <w:rsid w:val="0070152D"/>
    <w:rsid w:val="007062E5"/>
    <w:rsid w:val="007164E6"/>
    <w:rsid w:val="0073000B"/>
    <w:rsid w:val="00773477"/>
    <w:rsid w:val="007B28C2"/>
    <w:rsid w:val="007F729F"/>
    <w:rsid w:val="00802A87"/>
    <w:rsid w:val="0080576F"/>
    <w:rsid w:val="00811C3E"/>
    <w:rsid w:val="00895CB2"/>
    <w:rsid w:val="008964EF"/>
    <w:rsid w:val="008B60A1"/>
    <w:rsid w:val="008F49D5"/>
    <w:rsid w:val="00902F1C"/>
    <w:rsid w:val="00913769"/>
    <w:rsid w:val="00952C09"/>
    <w:rsid w:val="00964672"/>
    <w:rsid w:val="009818EB"/>
    <w:rsid w:val="00983D93"/>
    <w:rsid w:val="0099058D"/>
    <w:rsid w:val="00991986"/>
    <w:rsid w:val="00995AEA"/>
    <w:rsid w:val="00A053FA"/>
    <w:rsid w:val="00A14EC3"/>
    <w:rsid w:val="00A20FE1"/>
    <w:rsid w:val="00A3463A"/>
    <w:rsid w:val="00A376F9"/>
    <w:rsid w:val="00A82BDD"/>
    <w:rsid w:val="00AC341F"/>
    <w:rsid w:val="00B2233B"/>
    <w:rsid w:val="00B950CF"/>
    <w:rsid w:val="00BA57BD"/>
    <w:rsid w:val="00BC7994"/>
    <w:rsid w:val="00BD26CD"/>
    <w:rsid w:val="00C02913"/>
    <w:rsid w:val="00C2288E"/>
    <w:rsid w:val="00C358ED"/>
    <w:rsid w:val="00C36E2C"/>
    <w:rsid w:val="00C40D6E"/>
    <w:rsid w:val="00C91D3B"/>
    <w:rsid w:val="00C93CFE"/>
    <w:rsid w:val="00CA7453"/>
    <w:rsid w:val="00CC2F08"/>
    <w:rsid w:val="00CC72BF"/>
    <w:rsid w:val="00D15690"/>
    <w:rsid w:val="00D402A0"/>
    <w:rsid w:val="00D51449"/>
    <w:rsid w:val="00D83839"/>
    <w:rsid w:val="00DA2818"/>
    <w:rsid w:val="00DA75D8"/>
    <w:rsid w:val="00DD3520"/>
    <w:rsid w:val="00E97C34"/>
    <w:rsid w:val="00F15BDC"/>
    <w:rsid w:val="00F421C3"/>
    <w:rsid w:val="00F634A8"/>
    <w:rsid w:val="00FA0764"/>
    <w:rsid w:val="00FE440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2D"/>
    <w:pPr>
      <w:spacing w:after="160" w:line="259"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152D"/>
    <w:pPr>
      <w:ind w:left="720"/>
      <w:contextualSpacing/>
    </w:pPr>
  </w:style>
  <w:style w:type="character" w:styleId="Hiperligao">
    <w:name w:val="Hyperlink"/>
    <w:basedOn w:val="Tipodeletrapredefinidodopargrafo"/>
    <w:uiPriority w:val="99"/>
    <w:unhideWhenUsed/>
    <w:rsid w:val="0070152D"/>
    <w:rPr>
      <w:color w:val="0000FF" w:themeColor="hyperlink"/>
      <w:u w:val="single"/>
    </w:rPr>
  </w:style>
  <w:style w:type="paragraph" w:styleId="Textodenotadefim">
    <w:name w:val="endnote text"/>
    <w:basedOn w:val="Normal"/>
    <w:link w:val="TextodenotadefimCarcter"/>
    <w:uiPriority w:val="99"/>
    <w:semiHidden/>
    <w:unhideWhenUsed/>
    <w:rsid w:val="0070152D"/>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70152D"/>
    <w:rPr>
      <w:sz w:val="20"/>
      <w:szCs w:val="20"/>
    </w:rPr>
  </w:style>
  <w:style w:type="character" w:styleId="Refdenotadefim">
    <w:name w:val="endnote reference"/>
    <w:basedOn w:val="Tipodeletrapredefinidodopargrafo"/>
    <w:uiPriority w:val="99"/>
    <w:semiHidden/>
    <w:unhideWhenUsed/>
    <w:rsid w:val="0070152D"/>
    <w:rPr>
      <w:vertAlign w:val="superscript"/>
    </w:rPr>
  </w:style>
  <w:style w:type="paragraph" w:styleId="Cabealho">
    <w:name w:val="header"/>
    <w:basedOn w:val="Normal"/>
    <w:link w:val="CabealhoCarcter"/>
    <w:uiPriority w:val="99"/>
    <w:semiHidden/>
    <w:unhideWhenUsed/>
    <w:rsid w:val="003E196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3E1969"/>
  </w:style>
  <w:style w:type="paragraph" w:styleId="Rodap">
    <w:name w:val="footer"/>
    <w:basedOn w:val="Normal"/>
    <w:link w:val="RodapCarcter"/>
    <w:uiPriority w:val="99"/>
    <w:semiHidden/>
    <w:unhideWhenUsed/>
    <w:rsid w:val="003E196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3E1969"/>
  </w:style>
  <w:style w:type="paragraph" w:styleId="Textodenotaderodap">
    <w:name w:val="footnote text"/>
    <w:basedOn w:val="Normal"/>
    <w:link w:val="TextodenotaderodapCarcter"/>
    <w:uiPriority w:val="99"/>
    <w:semiHidden/>
    <w:unhideWhenUsed/>
    <w:rsid w:val="00DA75D8"/>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DA75D8"/>
    <w:rPr>
      <w:sz w:val="20"/>
      <w:szCs w:val="20"/>
    </w:rPr>
  </w:style>
  <w:style w:type="character" w:styleId="Refdenotaderodap">
    <w:name w:val="footnote reference"/>
    <w:basedOn w:val="Tipodeletrapredefinidodopargrafo"/>
    <w:uiPriority w:val="99"/>
    <w:semiHidden/>
    <w:unhideWhenUsed/>
    <w:rsid w:val="00DA75D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0F3FE-9B38-4146-90B1-17793784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869</Words>
  <Characters>4698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Gouveia</dc:creator>
  <cp:lastModifiedBy>Marcelo Gouveia</cp:lastModifiedBy>
  <cp:revision>19</cp:revision>
  <dcterms:created xsi:type="dcterms:W3CDTF">2020-09-11T15:20:00Z</dcterms:created>
  <dcterms:modified xsi:type="dcterms:W3CDTF">2020-09-28T17:39:00Z</dcterms:modified>
</cp:coreProperties>
</file>